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92EAF" w:rsidRPr="008A68F1" w:rsidTr="006F64B6">
        <w:tc>
          <w:tcPr>
            <w:tcW w:w="4606" w:type="dxa"/>
          </w:tcPr>
          <w:p w:rsidR="00392EAF" w:rsidRPr="008A68F1" w:rsidRDefault="00392EAF" w:rsidP="008A68F1">
            <w:pPr>
              <w:spacing w:line="360" w:lineRule="auto"/>
              <w:rPr>
                <w:rFonts w:asciiTheme="majorBidi" w:hAnsiTheme="majorBidi" w:cstheme="majorBidi"/>
                <w:sz w:val="24"/>
                <w:szCs w:val="24"/>
              </w:rPr>
            </w:pPr>
          </w:p>
          <w:p w:rsidR="00392EAF" w:rsidRPr="008A68F1" w:rsidRDefault="004541FE" w:rsidP="008A68F1">
            <w:pPr>
              <w:spacing w:line="360" w:lineRule="auto"/>
              <w:rPr>
                <w:rFonts w:asciiTheme="majorBidi" w:hAnsiTheme="majorBidi" w:cstheme="majorBidi"/>
                <w:sz w:val="24"/>
                <w:szCs w:val="24"/>
              </w:rPr>
            </w:pPr>
            <w:bookmarkStart w:id="0" w:name="_GoBack"/>
            <w:bookmarkEnd w:id="0"/>
            <w:r>
              <w:rPr>
                <w:rFonts w:asciiTheme="majorBidi" w:hAnsiTheme="majorBidi" w:cstheme="majorBidi"/>
                <w:noProof/>
                <w:sz w:val="24"/>
                <w:szCs w:val="24"/>
                <w:lang w:eastAsia="fr-FR"/>
              </w:rPr>
              <w:drawing>
                <wp:inline distT="0" distB="0" distL="0" distR="0">
                  <wp:extent cx="1951708" cy="977900"/>
                  <wp:effectExtent l="19050" t="0" r="0" b="0"/>
                  <wp:docPr id="2" name="Image 1" descr="C:\Users\asma\Deskto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Desktop\isi.png"/>
                          <pic:cNvPicPr>
                            <a:picLocks noChangeAspect="1" noChangeArrowheads="1"/>
                          </pic:cNvPicPr>
                        </pic:nvPicPr>
                        <pic:blipFill>
                          <a:blip r:embed="rId7"/>
                          <a:srcRect/>
                          <a:stretch>
                            <a:fillRect/>
                          </a:stretch>
                        </pic:blipFill>
                        <pic:spPr bwMode="auto">
                          <a:xfrm>
                            <a:off x="0" y="0"/>
                            <a:ext cx="1951708" cy="977900"/>
                          </a:xfrm>
                          <a:prstGeom prst="rect">
                            <a:avLst/>
                          </a:prstGeom>
                          <a:noFill/>
                          <a:ln w="9525">
                            <a:noFill/>
                            <a:miter lim="800000"/>
                            <a:headEnd/>
                            <a:tailEnd/>
                          </a:ln>
                        </pic:spPr>
                      </pic:pic>
                    </a:graphicData>
                  </a:graphic>
                </wp:inline>
              </w:drawing>
            </w:r>
          </w:p>
        </w:tc>
        <w:tc>
          <w:tcPr>
            <w:tcW w:w="4606" w:type="dxa"/>
          </w:tcPr>
          <w:p w:rsidR="00392EAF" w:rsidRPr="008A68F1" w:rsidRDefault="006F64B6" w:rsidP="008A68F1">
            <w:pPr>
              <w:spacing w:line="360" w:lineRule="auto"/>
              <w:jc w:val="right"/>
              <w:rPr>
                <w:rFonts w:asciiTheme="majorBidi" w:hAnsiTheme="majorBidi" w:cstheme="majorBidi"/>
                <w:sz w:val="24"/>
                <w:szCs w:val="24"/>
              </w:rPr>
            </w:pPr>
            <w:r w:rsidRPr="008A68F1">
              <w:rPr>
                <w:rFonts w:asciiTheme="majorBidi" w:hAnsiTheme="majorBidi" w:cstheme="majorBidi"/>
                <w:noProof/>
                <w:sz w:val="24"/>
                <w:szCs w:val="24"/>
                <w:lang w:eastAsia="fr-FR"/>
              </w:rPr>
              <w:drawing>
                <wp:inline distT="0" distB="0" distL="0" distR="0">
                  <wp:extent cx="2129027" cy="1002903"/>
                  <wp:effectExtent l="19050" t="0" r="4573" b="0"/>
                  <wp:docPr id="1" name="Image 1" descr="C:\Users\asm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Desktop\logo.png"/>
                          <pic:cNvPicPr>
                            <a:picLocks noChangeAspect="1" noChangeArrowheads="1"/>
                          </pic:cNvPicPr>
                        </pic:nvPicPr>
                        <pic:blipFill>
                          <a:blip r:embed="rId8"/>
                          <a:srcRect/>
                          <a:stretch>
                            <a:fillRect/>
                          </a:stretch>
                        </pic:blipFill>
                        <pic:spPr bwMode="auto">
                          <a:xfrm>
                            <a:off x="0" y="0"/>
                            <a:ext cx="2129027" cy="1002903"/>
                          </a:xfrm>
                          <a:prstGeom prst="rect">
                            <a:avLst/>
                          </a:prstGeom>
                          <a:noFill/>
                          <a:ln w="9525">
                            <a:noFill/>
                            <a:miter lim="800000"/>
                            <a:headEnd/>
                            <a:tailEnd/>
                          </a:ln>
                        </pic:spPr>
                      </pic:pic>
                    </a:graphicData>
                  </a:graphic>
                </wp:inline>
              </w:drawing>
            </w:r>
          </w:p>
        </w:tc>
      </w:tr>
    </w:tbl>
    <w:p w:rsidR="00392EAF" w:rsidRPr="008A68F1" w:rsidRDefault="00392EAF" w:rsidP="008A68F1">
      <w:pPr>
        <w:spacing w:after="0" w:line="360" w:lineRule="auto"/>
        <w:ind w:left="-993" w:right="-711"/>
        <w:jc w:val="center"/>
        <w:rPr>
          <w:rFonts w:asciiTheme="majorBidi" w:eastAsia="Times New Roman" w:hAnsiTheme="majorBidi" w:cstheme="majorBidi"/>
          <w:b/>
          <w:bCs/>
          <w:spacing w:val="3"/>
          <w:sz w:val="24"/>
          <w:szCs w:val="24"/>
        </w:rPr>
      </w:pPr>
      <w:r w:rsidRPr="008A68F1">
        <w:rPr>
          <w:rFonts w:asciiTheme="majorBidi" w:eastAsia="Times New Roman" w:hAnsiTheme="majorBidi" w:cstheme="majorBidi"/>
          <w:b/>
          <w:bCs/>
          <w:spacing w:val="3"/>
          <w:sz w:val="24"/>
          <w:szCs w:val="24"/>
        </w:rPr>
        <w:t>Communiqué de candidature pour l’inscription au Mastère professionnel en</w:t>
      </w:r>
    </w:p>
    <w:p w:rsidR="004541FE" w:rsidRPr="00E541AC" w:rsidRDefault="00392EAF" w:rsidP="004541FE">
      <w:pPr>
        <w:ind w:left="357"/>
        <w:jc w:val="center"/>
        <w:rPr>
          <w:rFonts w:ascii="Bodoni MT" w:hAnsi="Bodoni MT" w:cs="Traditional Arabic"/>
          <w:b/>
          <w:bCs/>
          <w:iCs/>
          <w:color w:val="000000"/>
        </w:rPr>
      </w:pPr>
      <w:r w:rsidRPr="008A68F1">
        <w:rPr>
          <w:rFonts w:asciiTheme="majorBidi" w:eastAsia="Times New Roman" w:hAnsiTheme="majorBidi" w:cstheme="majorBidi"/>
          <w:b/>
          <w:bCs/>
          <w:spacing w:val="3"/>
          <w:sz w:val="24"/>
          <w:szCs w:val="24"/>
        </w:rPr>
        <w:t xml:space="preserve"> « </w:t>
      </w:r>
      <w:r w:rsidR="004541FE">
        <w:rPr>
          <w:rFonts w:ascii="Bodoni MT" w:hAnsi="Bodoni MT" w:cs="Traditional Arabic"/>
          <w:b/>
          <w:bCs/>
          <w:iCs/>
          <w:color w:val="000000"/>
        </w:rPr>
        <w:t>Mastère Professionnel en I</w:t>
      </w:r>
      <w:r w:rsidR="004541FE" w:rsidRPr="00E541AC">
        <w:rPr>
          <w:rFonts w:ascii="Bodoni MT" w:hAnsi="Bodoni MT" w:cs="Traditional Arabic"/>
          <w:b/>
          <w:bCs/>
          <w:iCs/>
          <w:color w:val="000000"/>
        </w:rPr>
        <w:t>ngénierie du Logiciel - open source</w:t>
      </w:r>
      <w:r w:rsidR="004541FE">
        <w:rPr>
          <w:rFonts w:ascii="Bodoni MT" w:hAnsi="Bodoni MT" w:cs="Traditional Arabic"/>
          <w:b/>
          <w:bCs/>
          <w:iCs/>
          <w:color w:val="000000"/>
        </w:rPr>
        <w:t> »</w:t>
      </w:r>
      <w:r w:rsidR="004541FE" w:rsidRPr="00E541AC">
        <w:rPr>
          <w:rFonts w:ascii="Bodoni MT" w:hAnsi="Bodoni MT" w:cs="Traditional Arabic"/>
          <w:b/>
          <w:bCs/>
          <w:iCs/>
          <w:color w:val="000000"/>
        </w:rPr>
        <w:t xml:space="preserve"> </w:t>
      </w:r>
      <w:r w:rsidR="004541FE" w:rsidRPr="00911C71">
        <w:rPr>
          <w:rFonts w:ascii="Bodoni MT" w:hAnsi="Bodoni MT" w:cs="Traditional Arabic"/>
          <w:b/>
          <w:bCs/>
          <w:iCs/>
          <w:color w:val="000000"/>
        </w:rPr>
        <w:t>(</w:t>
      </w:r>
      <w:r w:rsidR="004541FE" w:rsidRPr="00911C71">
        <w:rPr>
          <w:rFonts w:ascii="Bodoni MT" w:hAnsi="Bodoni MT" w:cs="Traditional Arabic"/>
          <w:b/>
          <w:bCs/>
          <w:i/>
          <w:color w:val="000000"/>
        </w:rPr>
        <w:t>MP2L</w:t>
      </w:r>
      <w:r w:rsidR="004541FE" w:rsidRPr="00205047">
        <w:rPr>
          <w:rFonts w:ascii="Bodoni MT" w:hAnsi="Bodoni MT" w:cs="Traditional Arabic"/>
          <w:b/>
          <w:bCs/>
          <w:iCs/>
          <w:color w:val="000000"/>
        </w:rPr>
        <w:t>)</w:t>
      </w:r>
    </w:p>
    <w:p w:rsidR="00392EAF" w:rsidRPr="008A68F1" w:rsidRDefault="00392EAF" w:rsidP="008A68F1">
      <w:pPr>
        <w:widowControl w:val="0"/>
        <w:spacing w:after="0" w:line="360" w:lineRule="auto"/>
        <w:ind w:left="1"/>
        <w:jc w:val="center"/>
        <w:outlineLvl w:val="1"/>
        <w:rPr>
          <w:rFonts w:asciiTheme="majorBidi" w:eastAsia="Times New Roman" w:hAnsiTheme="majorBidi" w:cstheme="majorBidi"/>
          <w:b/>
          <w:bCs/>
          <w:spacing w:val="3"/>
          <w:sz w:val="24"/>
          <w:szCs w:val="24"/>
        </w:rPr>
      </w:pPr>
      <w:r w:rsidRPr="008A68F1">
        <w:rPr>
          <w:rFonts w:asciiTheme="majorBidi" w:eastAsia="Times New Roman" w:hAnsiTheme="majorBidi" w:cstheme="majorBidi"/>
          <w:b/>
          <w:bCs/>
          <w:spacing w:val="3"/>
          <w:sz w:val="24"/>
          <w:szCs w:val="24"/>
        </w:rPr>
        <w:t xml:space="preserve">Formation </w:t>
      </w:r>
      <w:r w:rsidR="00F7501C" w:rsidRPr="008A68F1">
        <w:rPr>
          <w:rFonts w:asciiTheme="majorBidi" w:eastAsia="Times New Roman" w:hAnsiTheme="majorBidi" w:cstheme="majorBidi"/>
          <w:b/>
          <w:bCs/>
          <w:spacing w:val="3"/>
          <w:sz w:val="24"/>
          <w:szCs w:val="24"/>
        </w:rPr>
        <w:t>à</w:t>
      </w:r>
      <w:r w:rsidRPr="008A68F1">
        <w:rPr>
          <w:rFonts w:asciiTheme="majorBidi" w:eastAsia="Times New Roman" w:hAnsiTheme="majorBidi" w:cstheme="majorBidi"/>
          <w:b/>
          <w:bCs/>
          <w:spacing w:val="3"/>
          <w:sz w:val="24"/>
          <w:szCs w:val="24"/>
        </w:rPr>
        <w:t xml:space="preserve"> distance </w:t>
      </w:r>
    </w:p>
    <w:p w:rsidR="00392EAF" w:rsidRPr="008A68F1" w:rsidRDefault="00392EAF" w:rsidP="004541FE">
      <w:pPr>
        <w:widowControl w:val="0"/>
        <w:spacing w:after="0" w:line="360" w:lineRule="auto"/>
        <w:ind w:left="1"/>
        <w:jc w:val="center"/>
        <w:outlineLvl w:val="1"/>
        <w:rPr>
          <w:rFonts w:asciiTheme="majorBidi" w:eastAsia="Times New Roman" w:hAnsiTheme="majorBidi" w:cstheme="majorBidi"/>
          <w:b/>
          <w:bCs/>
          <w:spacing w:val="3"/>
          <w:sz w:val="24"/>
          <w:szCs w:val="24"/>
        </w:rPr>
      </w:pPr>
      <w:r w:rsidRPr="008A68F1">
        <w:rPr>
          <w:rFonts w:asciiTheme="majorBidi" w:eastAsia="Times New Roman" w:hAnsiTheme="majorBidi" w:cstheme="majorBidi"/>
          <w:b/>
          <w:bCs/>
          <w:spacing w:val="3"/>
          <w:sz w:val="24"/>
          <w:szCs w:val="24"/>
        </w:rPr>
        <w:t>en co-diplômation (UVT&amp;</w:t>
      </w:r>
      <w:r w:rsidR="004541FE">
        <w:rPr>
          <w:rFonts w:asciiTheme="majorBidi" w:hAnsiTheme="majorBidi" w:cstheme="majorBidi"/>
          <w:b/>
          <w:bCs/>
          <w:iCs/>
          <w:color w:val="000000"/>
          <w:sz w:val="24"/>
          <w:szCs w:val="24"/>
          <w:lang w:bidi="ar-TN"/>
        </w:rPr>
        <w:t>ISI</w:t>
      </w:r>
      <w:r w:rsidRPr="008A68F1">
        <w:rPr>
          <w:rFonts w:asciiTheme="majorBidi" w:eastAsia="Times New Roman" w:hAnsiTheme="majorBidi" w:cstheme="majorBidi"/>
          <w:b/>
          <w:bCs/>
          <w:spacing w:val="3"/>
          <w:sz w:val="24"/>
          <w:szCs w:val="24"/>
        </w:rPr>
        <w:t>)</w:t>
      </w:r>
    </w:p>
    <w:p w:rsidR="00392EAF" w:rsidRPr="008A68F1" w:rsidRDefault="00392EAF" w:rsidP="008A68F1">
      <w:pPr>
        <w:spacing w:after="0" w:line="360" w:lineRule="auto"/>
        <w:ind w:left="357"/>
        <w:jc w:val="center"/>
        <w:rPr>
          <w:rFonts w:asciiTheme="majorBidi" w:hAnsiTheme="majorBidi" w:cstheme="majorBidi"/>
          <w:b/>
          <w:bCs/>
          <w:iCs/>
          <w:color w:val="000000"/>
          <w:sz w:val="24"/>
          <w:szCs w:val="24"/>
          <w:lang w:bidi="ar-TN"/>
        </w:rPr>
      </w:pPr>
      <w:r w:rsidRPr="008A68F1">
        <w:rPr>
          <w:rFonts w:asciiTheme="majorBidi" w:hAnsiTheme="majorBidi" w:cstheme="majorBidi"/>
          <w:b/>
          <w:bCs/>
          <w:iCs/>
          <w:color w:val="000000"/>
          <w:sz w:val="24"/>
          <w:szCs w:val="24"/>
          <w:lang w:bidi="ar-TN"/>
        </w:rPr>
        <w:t>2021-2022</w:t>
      </w:r>
    </w:p>
    <w:p w:rsidR="00EE402D" w:rsidRPr="008A68F1" w:rsidRDefault="00EE402D" w:rsidP="008A68F1">
      <w:pPr>
        <w:spacing w:after="0" w:line="360" w:lineRule="auto"/>
        <w:rPr>
          <w:rFonts w:asciiTheme="majorBidi" w:hAnsiTheme="majorBidi" w:cstheme="majorBidi"/>
          <w:sz w:val="24"/>
          <w:szCs w:val="24"/>
        </w:rPr>
      </w:pPr>
    </w:p>
    <w:p w:rsidR="005C534A" w:rsidRDefault="00392EAF" w:rsidP="00034717">
      <w:pPr>
        <w:tabs>
          <w:tab w:val="left" w:pos="10490"/>
          <w:tab w:val="left" w:pos="10773"/>
        </w:tabs>
        <w:spacing w:after="0" w:line="360" w:lineRule="auto"/>
        <w:ind w:left="-284" w:right="-2"/>
        <w:rPr>
          <w:rFonts w:ascii="Bodoni MT" w:hAnsi="Bodoni MT" w:cs="Traditional Arabic"/>
          <w:b/>
          <w:bCs/>
          <w:iCs/>
          <w:color w:val="000000"/>
        </w:rPr>
      </w:pPr>
      <w:r w:rsidRPr="008A68F1">
        <w:rPr>
          <w:rFonts w:asciiTheme="majorBidi" w:eastAsia="Times New Roman" w:hAnsiTheme="majorBidi" w:cstheme="majorBidi"/>
          <w:sz w:val="24"/>
          <w:szCs w:val="24"/>
        </w:rPr>
        <w:t xml:space="preserve">L’Université Virtuelle de Tunis (UVT) et </w:t>
      </w:r>
      <w:r w:rsidR="004541FE">
        <w:rPr>
          <w:rFonts w:asciiTheme="majorBidi" w:hAnsiTheme="majorBidi" w:cstheme="majorBidi"/>
          <w:iCs/>
          <w:color w:val="000000"/>
          <w:sz w:val="24"/>
          <w:szCs w:val="24"/>
          <w:lang w:bidi="ar-TN"/>
        </w:rPr>
        <w:t>l’Institut Supérieur d’Informatique</w:t>
      </w:r>
      <w:r w:rsidR="00F261B8" w:rsidRPr="008A68F1">
        <w:rPr>
          <w:rFonts w:asciiTheme="majorBidi" w:hAnsiTheme="majorBidi" w:cstheme="majorBidi"/>
          <w:iCs/>
          <w:color w:val="000000"/>
          <w:sz w:val="24"/>
          <w:szCs w:val="24"/>
          <w:lang w:bidi="ar-TN"/>
        </w:rPr>
        <w:t xml:space="preserve"> (</w:t>
      </w:r>
      <w:r w:rsidR="004541FE">
        <w:rPr>
          <w:rFonts w:asciiTheme="majorBidi" w:hAnsiTheme="majorBidi" w:cstheme="majorBidi"/>
          <w:iCs/>
          <w:color w:val="000000"/>
          <w:sz w:val="24"/>
          <w:szCs w:val="24"/>
          <w:lang w:bidi="ar-TN"/>
        </w:rPr>
        <w:t>ISI</w:t>
      </w:r>
      <w:r w:rsidR="00F261B8" w:rsidRPr="008A68F1">
        <w:rPr>
          <w:rFonts w:asciiTheme="majorBidi" w:hAnsiTheme="majorBidi" w:cstheme="majorBidi"/>
          <w:iCs/>
          <w:color w:val="000000"/>
          <w:sz w:val="24"/>
          <w:szCs w:val="24"/>
          <w:lang w:bidi="ar-TN"/>
        </w:rPr>
        <w:t>)</w:t>
      </w:r>
      <w:r w:rsidR="00034717">
        <w:rPr>
          <w:rFonts w:asciiTheme="majorBidi" w:hAnsiTheme="majorBidi" w:cstheme="majorBidi"/>
          <w:iCs/>
          <w:color w:val="000000"/>
          <w:sz w:val="24"/>
          <w:szCs w:val="24"/>
          <w:lang w:bidi="ar-TN"/>
        </w:rPr>
        <w:t xml:space="preserve"> de l’Université de Tunis El Manar</w:t>
      </w:r>
      <w:r w:rsidR="00F261B8" w:rsidRPr="008A68F1">
        <w:rPr>
          <w:rFonts w:asciiTheme="majorBidi" w:hAnsiTheme="majorBidi" w:cstheme="majorBidi"/>
          <w:iCs/>
          <w:color w:val="000000"/>
          <w:sz w:val="24"/>
          <w:szCs w:val="24"/>
          <w:lang w:bidi="ar-TN"/>
        </w:rPr>
        <w:t xml:space="preserve"> </w:t>
      </w:r>
      <w:r w:rsidRPr="008A68F1">
        <w:rPr>
          <w:rFonts w:asciiTheme="majorBidi" w:eastAsia="Times New Roman" w:hAnsiTheme="majorBidi" w:cstheme="majorBidi"/>
          <w:sz w:val="24"/>
          <w:szCs w:val="24"/>
        </w:rPr>
        <w:t xml:space="preserve"> annoncent l’ouverture d</w:t>
      </w:r>
      <w:r w:rsidRPr="008A68F1">
        <w:rPr>
          <w:rFonts w:asciiTheme="majorBidi" w:eastAsia="Times New Roman" w:hAnsiTheme="majorBidi" w:cstheme="majorBidi"/>
          <w:spacing w:val="-2"/>
          <w:sz w:val="24"/>
          <w:szCs w:val="24"/>
        </w:rPr>
        <w:t>e</w:t>
      </w:r>
      <w:r w:rsidRPr="008A68F1">
        <w:rPr>
          <w:rFonts w:asciiTheme="majorBidi" w:eastAsia="Times New Roman" w:hAnsiTheme="majorBidi" w:cstheme="majorBidi"/>
          <w:sz w:val="24"/>
          <w:szCs w:val="24"/>
        </w:rPr>
        <w:t xml:space="preserve">s </w:t>
      </w:r>
      <w:r w:rsidRPr="008A68F1">
        <w:rPr>
          <w:rFonts w:asciiTheme="majorBidi" w:eastAsia="Times New Roman" w:hAnsiTheme="majorBidi" w:cstheme="majorBidi"/>
          <w:spacing w:val="-2"/>
          <w:sz w:val="24"/>
          <w:szCs w:val="24"/>
        </w:rPr>
        <w:t>c</w:t>
      </w:r>
      <w:r w:rsidRPr="008A68F1">
        <w:rPr>
          <w:rFonts w:asciiTheme="majorBidi" w:eastAsia="Times New Roman" w:hAnsiTheme="majorBidi" w:cstheme="majorBidi"/>
          <w:spacing w:val="2"/>
          <w:sz w:val="24"/>
          <w:szCs w:val="24"/>
        </w:rPr>
        <w:t>a</w:t>
      </w:r>
      <w:r w:rsidRPr="008A68F1">
        <w:rPr>
          <w:rFonts w:asciiTheme="majorBidi" w:eastAsia="Times New Roman" w:hAnsiTheme="majorBidi" w:cstheme="majorBidi"/>
          <w:sz w:val="24"/>
          <w:szCs w:val="24"/>
        </w:rPr>
        <w:t>ndi</w:t>
      </w:r>
      <w:r w:rsidRPr="008A68F1">
        <w:rPr>
          <w:rFonts w:asciiTheme="majorBidi" w:eastAsia="Times New Roman" w:hAnsiTheme="majorBidi" w:cstheme="majorBidi"/>
          <w:spacing w:val="-5"/>
          <w:sz w:val="24"/>
          <w:szCs w:val="24"/>
        </w:rPr>
        <w:t>d</w:t>
      </w:r>
      <w:r w:rsidRPr="008A68F1">
        <w:rPr>
          <w:rFonts w:asciiTheme="majorBidi" w:eastAsia="Times New Roman" w:hAnsiTheme="majorBidi" w:cstheme="majorBidi"/>
          <w:spacing w:val="2"/>
          <w:sz w:val="24"/>
          <w:szCs w:val="24"/>
        </w:rPr>
        <w:t>a</w:t>
      </w:r>
      <w:r w:rsidRPr="008A68F1">
        <w:rPr>
          <w:rFonts w:asciiTheme="majorBidi" w:eastAsia="Times New Roman" w:hAnsiTheme="majorBidi" w:cstheme="majorBidi"/>
          <w:sz w:val="24"/>
          <w:szCs w:val="24"/>
        </w:rPr>
        <w:t>tu</w:t>
      </w:r>
      <w:r w:rsidRPr="008A68F1">
        <w:rPr>
          <w:rFonts w:asciiTheme="majorBidi" w:eastAsia="Times New Roman" w:hAnsiTheme="majorBidi" w:cstheme="majorBidi"/>
          <w:spacing w:val="3"/>
          <w:sz w:val="24"/>
          <w:szCs w:val="24"/>
        </w:rPr>
        <w:t>r</w:t>
      </w:r>
      <w:r w:rsidRPr="008A68F1">
        <w:rPr>
          <w:rFonts w:asciiTheme="majorBidi" w:eastAsia="Times New Roman" w:hAnsiTheme="majorBidi" w:cstheme="majorBidi"/>
          <w:spacing w:val="-7"/>
          <w:sz w:val="24"/>
          <w:szCs w:val="24"/>
        </w:rPr>
        <w:t>e</w:t>
      </w:r>
      <w:r w:rsidRPr="008A68F1">
        <w:rPr>
          <w:rFonts w:asciiTheme="majorBidi" w:eastAsia="Times New Roman" w:hAnsiTheme="majorBidi" w:cstheme="majorBidi"/>
          <w:sz w:val="24"/>
          <w:szCs w:val="24"/>
        </w:rPr>
        <w:t xml:space="preserve">s </w:t>
      </w:r>
      <w:r w:rsidR="00692CB6" w:rsidRPr="008A68F1">
        <w:rPr>
          <w:rFonts w:asciiTheme="majorBidi" w:eastAsia="Times New Roman" w:hAnsiTheme="majorBidi" w:cstheme="majorBidi"/>
          <w:sz w:val="24"/>
          <w:szCs w:val="24"/>
        </w:rPr>
        <w:t xml:space="preserve">pour  </w:t>
      </w:r>
      <w:r w:rsidR="002D54C5" w:rsidRPr="008A68F1">
        <w:rPr>
          <w:rFonts w:asciiTheme="majorBidi" w:eastAsia="Times New Roman" w:hAnsiTheme="majorBidi" w:cstheme="majorBidi"/>
          <w:sz w:val="24"/>
          <w:szCs w:val="24"/>
        </w:rPr>
        <w:t xml:space="preserve">l’inscription en première année </w:t>
      </w:r>
      <w:r w:rsidR="00F261B8" w:rsidRPr="008A68F1">
        <w:rPr>
          <w:rFonts w:asciiTheme="majorBidi" w:eastAsia="Times New Roman" w:hAnsiTheme="majorBidi" w:cstheme="majorBidi"/>
          <w:sz w:val="24"/>
          <w:szCs w:val="24"/>
        </w:rPr>
        <w:t>(M1</w:t>
      </w:r>
      <w:r w:rsidR="002D54C5" w:rsidRPr="008A68F1">
        <w:rPr>
          <w:rFonts w:asciiTheme="majorBidi" w:eastAsia="Times New Roman" w:hAnsiTheme="majorBidi" w:cstheme="majorBidi"/>
          <w:sz w:val="24"/>
          <w:szCs w:val="24"/>
        </w:rPr>
        <w:t xml:space="preserve">) du </w:t>
      </w:r>
      <w:r w:rsidRPr="008A68F1">
        <w:rPr>
          <w:rFonts w:asciiTheme="majorBidi" w:eastAsia="Times New Roman" w:hAnsiTheme="majorBidi" w:cstheme="majorBidi"/>
          <w:sz w:val="24"/>
          <w:szCs w:val="24"/>
        </w:rPr>
        <w:t xml:space="preserve"> </w:t>
      </w:r>
      <w:r w:rsidR="00F261B8" w:rsidRPr="008A68F1">
        <w:rPr>
          <w:rFonts w:asciiTheme="majorBidi" w:eastAsia="Times New Roman" w:hAnsiTheme="majorBidi" w:cstheme="majorBidi"/>
          <w:sz w:val="24"/>
          <w:szCs w:val="24"/>
        </w:rPr>
        <w:t>« </w:t>
      </w:r>
      <w:r w:rsidR="005C534A" w:rsidRPr="008A68F1">
        <w:rPr>
          <w:rFonts w:asciiTheme="majorBidi" w:eastAsia="Times New Roman" w:hAnsiTheme="majorBidi" w:cstheme="majorBidi"/>
          <w:b/>
          <w:bCs/>
          <w:spacing w:val="3"/>
          <w:sz w:val="24"/>
          <w:szCs w:val="24"/>
        </w:rPr>
        <w:t>« </w:t>
      </w:r>
      <w:r w:rsidR="005C534A">
        <w:rPr>
          <w:rFonts w:ascii="Bodoni MT" w:hAnsi="Bodoni MT" w:cs="Traditional Arabic"/>
          <w:b/>
          <w:bCs/>
          <w:iCs/>
          <w:color w:val="000000"/>
        </w:rPr>
        <w:t>Mastère Professionnel en I</w:t>
      </w:r>
      <w:r w:rsidR="005C534A" w:rsidRPr="00E541AC">
        <w:rPr>
          <w:rFonts w:ascii="Bodoni MT" w:hAnsi="Bodoni MT" w:cs="Traditional Arabic"/>
          <w:b/>
          <w:bCs/>
          <w:iCs/>
          <w:color w:val="000000"/>
        </w:rPr>
        <w:t>ngénierie du Logiciel - open source</w:t>
      </w:r>
      <w:r w:rsidR="005C534A">
        <w:rPr>
          <w:rFonts w:ascii="Bodoni MT" w:hAnsi="Bodoni MT" w:cs="Traditional Arabic"/>
          <w:b/>
          <w:bCs/>
          <w:iCs/>
          <w:color w:val="000000"/>
        </w:rPr>
        <w:t> »</w:t>
      </w:r>
      <w:r w:rsidR="005C534A" w:rsidRPr="00E541AC">
        <w:rPr>
          <w:rFonts w:ascii="Bodoni MT" w:hAnsi="Bodoni MT" w:cs="Traditional Arabic"/>
          <w:b/>
          <w:bCs/>
          <w:iCs/>
          <w:color w:val="000000"/>
        </w:rPr>
        <w:t xml:space="preserve"> </w:t>
      </w:r>
      <w:r w:rsidR="005C534A" w:rsidRPr="00911C71">
        <w:rPr>
          <w:rFonts w:ascii="Bodoni MT" w:hAnsi="Bodoni MT" w:cs="Traditional Arabic"/>
          <w:b/>
          <w:bCs/>
          <w:iCs/>
          <w:color w:val="000000"/>
        </w:rPr>
        <w:t>(</w:t>
      </w:r>
      <w:r w:rsidR="005C534A" w:rsidRPr="00911C71">
        <w:rPr>
          <w:rFonts w:ascii="Bodoni MT" w:hAnsi="Bodoni MT" w:cs="Traditional Arabic"/>
          <w:b/>
          <w:bCs/>
          <w:i/>
          <w:color w:val="000000"/>
        </w:rPr>
        <w:t>MP2L</w:t>
      </w:r>
      <w:r w:rsidR="005C534A" w:rsidRPr="00205047">
        <w:rPr>
          <w:rFonts w:ascii="Bodoni MT" w:hAnsi="Bodoni MT" w:cs="Traditional Arabic"/>
          <w:b/>
          <w:bCs/>
          <w:iCs/>
          <w:color w:val="000000"/>
        </w:rPr>
        <w:t>)</w:t>
      </w:r>
      <w:r w:rsidR="005C534A">
        <w:rPr>
          <w:rFonts w:ascii="Bodoni MT" w:hAnsi="Bodoni MT" w:cs="Traditional Arabic"/>
          <w:b/>
          <w:bCs/>
          <w:iCs/>
          <w:color w:val="000000"/>
        </w:rPr>
        <w:t>.</w:t>
      </w:r>
    </w:p>
    <w:p w:rsidR="003F48A0" w:rsidRPr="008A68F1" w:rsidRDefault="003F48A0" w:rsidP="005C534A">
      <w:pPr>
        <w:tabs>
          <w:tab w:val="left" w:pos="10490"/>
          <w:tab w:val="left" w:pos="10773"/>
        </w:tabs>
        <w:spacing w:after="0" w:line="360" w:lineRule="auto"/>
        <w:ind w:left="-284" w:right="-2"/>
        <w:rPr>
          <w:rFonts w:asciiTheme="majorBidi" w:hAnsiTheme="majorBidi" w:cstheme="majorBidi"/>
          <w:sz w:val="24"/>
          <w:szCs w:val="24"/>
        </w:rPr>
      </w:pPr>
      <w:r w:rsidRPr="008A68F1">
        <w:rPr>
          <w:rFonts w:asciiTheme="majorBidi" w:hAnsiTheme="majorBidi" w:cstheme="majorBidi"/>
          <w:iCs/>
          <w:sz w:val="24"/>
          <w:szCs w:val="24"/>
          <w:lang w:bidi="ar-TN"/>
        </w:rPr>
        <w:t>L’enseignement</w:t>
      </w:r>
      <w:r w:rsidR="000C575F" w:rsidRPr="008A68F1">
        <w:rPr>
          <w:rFonts w:asciiTheme="majorBidi" w:hAnsiTheme="majorBidi" w:cstheme="majorBidi"/>
          <w:iCs/>
          <w:sz w:val="24"/>
          <w:szCs w:val="24"/>
          <w:lang w:bidi="ar-TN"/>
        </w:rPr>
        <w:t>,</w:t>
      </w:r>
      <w:r w:rsidRPr="008A68F1">
        <w:rPr>
          <w:rFonts w:asciiTheme="majorBidi" w:hAnsiTheme="majorBidi" w:cstheme="majorBidi"/>
          <w:iCs/>
          <w:sz w:val="24"/>
          <w:szCs w:val="24"/>
          <w:lang w:bidi="ar-TN"/>
        </w:rPr>
        <w:t xml:space="preserve"> est essentiellement à distance</w:t>
      </w:r>
      <w:r w:rsidR="00076029" w:rsidRPr="008A68F1">
        <w:rPr>
          <w:rFonts w:asciiTheme="majorBidi" w:hAnsiTheme="majorBidi" w:cstheme="majorBidi"/>
          <w:iCs/>
          <w:sz w:val="24"/>
          <w:szCs w:val="24"/>
          <w:lang w:bidi="ar-TN"/>
        </w:rPr>
        <w:t>,</w:t>
      </w:r>
      <w:r w:rsidRPr="008A68F1">
        <w:rPr>
          <w:rFonts w:asciiTheme="majorBidi" w:hAnsiTheme="majorBidi" w:cstheme="majorBidi"/>
          <w:iCs/>
          <w:sz w:val="24"/>
          <w:szCs w:val="24"/>
          <w:lang w:bidi="ar-TN"/>
        </w:rPr>
        <w:t xml:space="preserve"> </w:t>
      </w:r>
      <w:r w:rsidR="00B92F71" w:rsidRPr="008A68F1">
        <w:rPr>
          <w:rFonts w:asciiTheme="majorBidi" w:hAnsiTheme="majorBidi" w:cstheme="majorBidi"/>
          <w:iCs/>
          <w:sz w:val="24"/>
          <w:szCs w:val="24"/>
          <w:lang w:bidi="ar-TN"/>
        </w:rPr>
        <w:t xml:space="preserve">se déroule </w:t>
      </w:r>
      <w:r w:rsidRPr="008A68F1">
        <w:rPr>
          <w:rFonts w:asciiTheme="majorBidi" w:hAnsiTheme="majorBidi" w:cstheme="majorBidi"/>
          <w:iCs/>
          <w:sz w:val="24"/>
          <w:szCs w:val="24"/>
          <w:lang w:bidi="ar-TN"/>
        </w:rPr>
        <w:t xml:space="preserve">via la plateforme de l’UVT. Les étudiants sont suivis par des tuteurs pendant </w:t>
      </w:r>
      <w:r w:rsidR="00B92F71" w:rsidRPr="008A68F1">
        <w:rPr>
          <w:rFonts w:asciiTheme="majorBidi" w:hAnsiTheme="majorBidi" w:cstheme="majorBidi"/>
          <w:iCs/>
          <w:sz w:val="24"/>
          <w:szCs w:val="24"/>
          <w:lang w:bidi="ar-TN"/>
        </w:rPr>
        <w:t>les deux ans de</w:t>
      </w:r>
      <w:r w:rsidRPr="008A68F1">
        <w:rPr>
          <w:rFonts w:asciiTheme="majorBidi" w:hAnsiTheme="majorBidi" w:cstheme="majorBidi"/>
          <w:iCs/>
          <w:sz w:val="24"/>
          <w:szCs w:val="24"/>
          <w:lang w:bidi="ar-TN"/>
        </w:rPr>
        <w:t xml:space="preserve"> formation</w:t>
      </w:r>
      <w:r w:rsidR="00B92F71" w:rsidRPr="008A68F1">
        <w:rPr>
          <w:rFonts w:asciiTheme="majorBidi" w:hAnsiTheme="majorBidi" w:cstheme="majorBidi"/>
          <w:iCs/>
          <w:sz w:val="24"/>
          <w:szCs w:val="24"/>
          <w:lang w:bidi="ar-TN"/>
        </w:rPr>
        <w:t xml:space="preserve"> </w:t>
      </w:r>
      <w:r w:rsidR="00076029" w:rsidRPr="008A68F1">
        <w:rPr>
          <w:rFonts w:asciiTheme="majorBidi" w:hAnsiTheme="majorBidi" w:cstheme="majorBidi"/>
          <w:iCs/>
          <w:sz w:val="24"/>
          <w:szCs w:val="24"/>
          <w:lang w:bidi="ar-TN"/>
        </w:rPr>
        <w:t>(M1et</w:t>
      </w:r>
      <w:r w:rsidR="00B92F71" w:rsidRPr="008A68F1">
        <w:rPr>
          <w:rFonts w:asciiTheme="majorBidi" w:hAnsiTheme="majorBidi" w:cstheme="majorBidi"/>
          <w:iCs/>
          <w:sz w:val="24"/>
          <w:szCs w:val="24"/>
          <w:lang w:bidi="ar-TN"/>
        </w:rPr>
        <w:t xml:space="preserve"> M2</w:t>
      </w:r>
      <w:r w:rsidR="004D3644" w:rsidRPr="008A68F1">
        <w:rPr>
          <w:rFonts w:asciiTheme="majorBidi" w:hAnsiTheme="majorBidi" w:cstheme="majorBidi"/>
          <w:iCs/>
          <w:sz w:val="24"/>
          <w:szCs w:val="24"/>
          <w:lang w:bidi="ar-TN"/>
        </w:rPr>
        <w:t>) et des activités pédagogiques sont prévues de façon hebdomadaire</w:t>
      </w:r>
      <w:r w:rsidR="00076029" w:rsidRPr="008A68F1">
        <w:rPr>
          <w:rFonts w:asciiTheme="majorBidi" w:hAnsiTheme="majorBidi" w:cstheme="majorBidi"/>
          <w:iCs/>
          <w:sz w:val="24"/>
          <w:szCs w:val="24"/>
          <w:lang w:bidi="ar-TN"/>
        </w:rPr>
        <w:t xml:space="preserve">. </w:t>
      </w:r>
      <w:r w:rsidRPr="008A68F1">
        <w:rPr>
          <w:rFonts w:asciiTheme="majorBidi" w:hAnsiTheme="majorBidi" w:cstheme="majorBidi"/>
          <w:iCs/>
          <w:sz w:val="24"/>
          <w:szCs w:val="24"/>
          <w:lang w:bidi="ar-TN"/>
        </w:rPr>
        <w:t>Des séances de regroupement en ligne et</w:t>
      </w:r>
      <w:r w:rsidR="000C575F" w:rsidRPr="008A68F1">
        <w:rPr>
          <w:rFonts w:asciiTheme="majorBidi" w:hAnsiTheme="majorBidi" w:cstheme="majorBidi"/>
          <w:iCs/>
          <w:sz w:val="24"/>
          <w:szCs w:val="24"/>
          <w:lang w:bidi="ar-TN"/>
        </w:rPr>
        <w:t>/ou</w:t>
      </w:r>
      <w:r w:rsidR="004D3644" w:rsidRPr="008A68F1">
        <w:rPr>
          <w:rFonts w:asciiTheme="majorBidi" w:hAnsiTheme="majorBidi" w:cstheme="majorBidi"/>
          <w:iCs/>
          <w:sz w:val="24"/>
          <w:szCs w:val="24"/>
          <w:lang w:bidi="ar-TN"/>
        </w:rPr>
        <w:t xml:space="preserve"> en présentiel sont </w:t>
      </w:r>
      <w:r w:rsidR="00EE47BA" w:rsidRPr="008A68F1">
        <w:rPr>
          <w:rFonts w:asciiTheme="majorBidi" w:hAnsiTheme="majorBidi" w:cstheme="majorBidi"/>
          <w:iCs/>
          <w:sz w:val="24"/>
          <w:szCs w:val="24"/>
          <w:lang w:bidi="ar-TN"/>
        </w:rPr>
        <w:t xml:space="preserve">aussi </w:t>
      </w:r>
      <w:r w:rsidR="004D3644" w:rsidRPr="008A68F1">
        <w:rPr>
          <w:rFonts w:asciiTheme="majorBidi" w:hAnsiTheme="majorBidi" w:cstheme="majorBidi"/>
          <w:iCs/>
          <w:sz w:val="24"/>
          <w:szCs w:val="24"/>
          <w:lang w:bidi="ar-TN"/>
        </w:rPr>
        <w:t>organisées. Le</w:t>
      </w:r>
      <w:r w:rsidRPr="008A68F1">
        <w:rPr>
          <w:rFonts w:asciiTheme="majorBidi" w:hAnsiTheme="majorBidi" w:cstheme="majorBidi"/>
          <w:iCs/>
          <w:sz w:val="24"/>
          <w:szCs w:val="24"/>
          <w:lang w:bidi="ar-TN"/>
        </w:rPr>
        <w:t xml:space="preserve">s examens se déroulent dans un centre d’examen </w:t>
      </w:r>
      <w:r w:rsidR="002C2276" w:rsidRPr="008A68F1">
        <w:rPr>
          <w:rFonts w:asciiTheme="majorBidi" w:hAnsiTheme="majorBidi" w:cstheme="majorBidi"/>
          <w:iCs/>
          <w:sz w:val="24"/>
          <w:szCs w:val="24"/>
          <w:lang w:bidi="ar-TN"/>
        </w:rPr>
        <w:t>de l’</w:t>
      </w:r>
      <w:r w:rsidR="005C534A">
        <w:rPr>
          <w:rFonts w:asciiTheme="majorBidi" w:hAnsiTheme="majorBidi" w:cstheme="majorBidi"/>
          <w:iCs/>
          <w:sz w:val="24"/>
          <w:szCs w:val="24"/>
          <w:lang w:bidi="ar-TN"/>
        </w:rPr>
        <w:t>ISI</w:t>
      </w:r>
      <w:r w:rsidR="002C2276" w:rsidRPr="008A68F1">
        <w:rPr>
          <w:rFonts w:asciiTheme="majorBidi" w:hAnsiTheme="majorBidi" w:cstheme="majorBidi"/>
          <w:iCs/>
          <w:sz w:val="24"/>
          <w:szCs w:val="24"/>
          <w:lang w:bidi="ar-TN"/>
        </w:rPr>
        <w:t>.</w:t>
      </w:r>
    </w:p>
    <w:tbl>
      <w:tblPr>
        <w:tblpPr w:leftFromText="141" w:rightFromText="141" w:vertAnchor="text" w:horzAnchor="margin" w:tblpXSpec="center" w:tblpY="24"/>
        <w:bidiVisual/>
        <w:tblW w:w="10207"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10207"/>
      </w:tblGrid>
      <w:tr w:rsidR="00C85F99" w:rsidRPr="008A68F1" w:rsidTr="00C85F99">
        <w:trPr>
          <w:trHeight w:val="282"/>
        </w:trPr>
        <w:tc>
          <w:tcPr>
            <w:tcW w:w="10207" w:type="dxa"/>
            <w:tcBorders>
              <w:top w:val="single" w:sz="12" w:space="0" w:color="auto"/>
              <w:bottom w:val="single" w:sz="12" w:space="0" w:color="auto"/>
            </w:tcBorders>
            <w:shd w:val="clear" w:color="auto" w:fill="auto"/>
          </w:tcPr>
          <w:p w:rsidR="00C85F99" w:rsidRPr="008A68F1" w:rsidRDefault="00C85F99" w:rsidP="008A68F1">
            <w:pPr>
              <w:tabs>
                <w:tab w:val="left" w:pos="6266"/>
                <w:tab w:val="right" w:pos="9793"/>
              </w:tabs>
              <w:bidi/>
              <w:spacing w:after="0" w:line="360" w:lineRule="auto"/>
              <w:jc w:val="right"/>
              <w:rPr>
                <w:rFonts w:asciiTheme="majorBidi" w:hAnsiTheme="majorBidi" w:cstheme="majorBidi"/>
                <w:b/>
                <w:bCs/>
                <w:iCs/>
                <w:sz w:val="24"/>
                <w:szCs w:val="24"/>
                <w:rtl/>
                <w:lang w:bidi="ar-TN"/>
              </w:rPr>
            </w:pPr>
            <w:r w:rsidRPr="008A68F1">
              <w:rPr>
                <w:rFonts w:asciiTheme="majorBidi" w:hAnsiTheme="majorBidi" w:cstheme="majorBidi"/>
                <w:b/>
                <w:bCs/>
                <w:iCs/>
                <w:sz w:val="24"/>
                <w:szCs w:val="24"/>
                <w:lang w:bidi="ar-TN"/>
              </w:rPr>
              <w:t>Qui peut postuler ?</w:t>
            </w:r>
          </w:p>
        </w:tc>
      </w:tr>
      <w:tr w:rsidR="00C85F99" w:rsidRPr="008A68F1" w:rsidTr="00C85F99">
        <w:trPr>
          <w:trHeight w:val="954"/>
        </w:trPr>
        <w:tc>
          <w:tcPr>
            <w:tcW w:w="10207" w:type="dxa"/>
            <w:tcBorders>
              <w:top w:val="single" w:sz="12" w:space="0" w:color="auto"/>
              <w:bottom w:val="single" w:sz="4" w:space="0" w:color="auto"/>
            </w:tcBorders>
            <w:vAlign w:val="center"/>
          </w:tcPr>
          <w:p w:rsidR="00C85F99" w:rsidRPr="008A68F1" w:rsidRDefault="00C85F99" w:rsidP="008A68F1">
            <w:pPr>
              <w:autoSpaceDE w:val="0"/>
              <w:autoSpaceDN w:val="0"/>
              <w:adjustRightInd w:val="0"/>
              <w:spacing w:after="0" w:line="360" w:lineRule="auto"/>
              <w:ind w:firstLine="248"/>
              <w:rPr>
                <w:rFonts w:asciiTheme="majorBidi" w:hAnsiTheme="majorBidi" w:cstheme="majorBidi"/>
                <w:iCs/>
                <w:color w:val="000000"/>
                <w:sz w:val="24"/>
                <w:szCs w:val="24"/>
                <w:lang w:bidi="ar-TN"/>
              </w:rPr>
            </w:pPr>
          </w:p>
          <w:p w:rsidR="004541FE" w:rsidRDefault="00C85F99" w:rsidP="004541FE">
            <w:pPr>
              <w:ind w:left="375"/>
              <w:rPr>
                <w:rFonts w:ascii="Bodoni MT" w:hAnsi="Bodoni MT"/>
              </w:rPr>
            </w:pPr>
            <w:r w:rsidRPr="008A68F1">
              <w:rPr>
                <w:rFonts w:asciiTheme="majorBidi" w:hAnsiTheme="majorBidi" w:cstheme="majorBidi"/>
                <w:iCs/>
                <w:lang w:bidi="ar-TN"/>
              </w:rPr>
              <w:t>Peuvent postuler pour ce mastère</w:t>
            </w:r>
            <w:r w:rsidR="00F261B8" w:rsidRPr="008A68F1">
              <w:rPr>
                <w:rFonts w:asciiTheme="majorBidi" w:hAnsiTheme="majorBidi" w:cstheme="majorBidi"/>
                <w:color w:val="000000"/>
              </w:rPr>
              <w:t xml:space="preserve">, les candidats titulaires </w:t>
            </w:r>
            <w:r w:rsidR="004541FE" w:rsidRPr="00205047">
              <w:rPr>
                <w:rFonts w:ascii="Bodoni MT" w:hAnsi="Bodoni MT"/>
              </w:rPr>
              <w:t xml:space="preserve"> d’un diplôme de licence ou de maîtrise en informatique, ou d’un diplôme équivalen</w:t>
            </w:r>
            <w:r w:rsidR="004541FE">
              <w:rPr>
                <w:rFonts w:ascii="Bodoni MT" w:hAnsi="Bodoni MT"/>
              </w:rPr>
              <w:t>t</w:t>
            </w:r>
            <w:r w:rsidR="004541FE" w:rsidRPr="00205047">
              <w:rPr>
                <w:rFonts w:ascii="Bodoni MT" w:hAnsi="Bodoni MT"/>
              </w:rPr>
              <w:t>.</w:t>
            </w:r>
          </w:p>
          <w:p w:rsidR="00F261B8" w:rsidRPr="008A68F1"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F261B8" w:rsidRPr="008A68F1"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F261B8" w:rsidRPr="008A68F1"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F261B8" w:rsidRPr="008A68F1"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F261B8" w:rsidRPr="008A68F1"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F261B8" w:rsidRDefault="00F261B8" w:rsidP="008A68F1">
            <w:pPr>
              <w:pStyle w:val="NormalWeb"/>
              <w:tabs>
                <w:tab w:val="left" w:pos="443"/>
              </w:tabs>
              <w:spacing w:before="0" w:beforeAutospacing="0" w:after="0" w:afterAutospacing="0" w:line="360" w:lineRule="auto"/>
              <w:jc w:val="both"/>
              <w:rPr>
                <w:rFonts w:asciiTheme="majorBidi" w:hAnsiTheme="majorBidi" w:cstheme="majorBidi"/>
                <w:iCs/>
                <w:lang w:bidi="ar-TN"/>
              </w:rPr>
            </w:pPr>
          </w:p>
          <w:p w:rsidR="00113496" w:rsidRPr="008A68F1" w:rsidRDefault="00113496" w:rsidP="008A68F1">
            <w:pPr>
              <w:pStyle w:val="NormalWeb"/>
              <w:tabs>
                <w:tab w:val="left" w:pos="443"/>
              </w:tabs>
              <w:spacing w:before="0" w:beforeAutospacing="0" w:after="0" w:afterAutospacing="0" w:line="360" w:lineRule="auto"/>
              <w:jc w:val="both"/>
              <w:rPr>
                <w:rFonts w:asciiTheme="majorBidi" w:hAnsiTheme="majorBidi" w:cstheme="majorBidi"/>
                <w:iCs/>
                <w:rtl/>
                <w:lang w:bidi="ar-TN"/>
              </w:rPr>
            </w:pPr>
          </w:p>
        </w:tc>
      </w:tr>
      <w:tr w:rsidR="00C85F99" w:rsidRPr="008A68F1" w:rsidTr="00C85F99">
        <w:trPr>
          <w:trHeight w:val="396"/>
        </w:trPr>
        <w:tc>
          <w:tcPr>
            <w:tcW w:w="10207" w:type="dxa"/>
            <w:tcBorders>
              <w:top w:val="single" w:sz="12" w:space="0" w:color="auto"/>
              <w:bottom w:val="single" w:sz="12" w:space="0" w:color="auto"/>
            </w:tcBorders>
            <w:shd w:val="clear" w:color="auto" w:fill="auto"/>
          </w:tcPr>
          <w:p w:rsidR="00C85F99" w:rsidRPr="008A68F1" w:rsidRDefault="00C85F99" w:rsidP="008A68F1">
            <w:pPr>
              <w:tabs>
                <w:tab w:val="left" w:pos="6266"/>
              </w:tabs>
              <w:spacing w:after="0" w:line="360" w:lineRule="auto"/>
              <w:ind w:right="69"/>
              <w:rPr>
                <w:rFonts w:asciiTheme="majorBidi" w:hAnsiTheme="majorBidi" w:cstheme="majorBidi"/>
                <w:b/>
                <w:iCs/>
                <w:sz w:val="24"/>
                <w:szCs w:val="24"/>
                <w:rtl/>
                <w:lang w:bidi="ar-TN"/>
              </w:rPr>
            </w:pPr>
            <w:r w:rsidRPr="008A68F1">
              <w:rPr>
                <w:rFonts w:asciiTheme="majorBidi" w:hAnsiTheme="majorBidi" w:cstheme="majorBidi"/>
                <w:b/>
                <w:iCs/>
                <w:sz w:val="24"/>
                <w:szCs w:val="24"/>
                <w:lang w:bidi="ar-TN"/>
              </w:rPr>
              <w:t>Comment s’inscrire ?</w:t>
            </w:r>
          </w:p>
        </w:tc>
      </w:tr>
      <w:tr w:rsidR="00C85F99" w:rsidRPr="008A68F1" w:rsidTr="00C85F99">
        <w:trPr>
          <w:trHeight w:val="396"/>
        </w:trPr>
        <w:tc>
          <w:tcPr>
            <w:tcW w:w="10207" w:type="dxa"/>
            <w:tcBorders>
              <w:top w:val="single" w:sz="12" w:space="0" w:color="auto"/>
              <w:bottom w:val="single" w:sz="12" w:space="0" w:color="auto"/>
            </w:tcBorders>
            <w:shd w:val="clear" w:color="auto" w:fill="auto"/>
          </w:tcPr>
          <w:p w:rsidR="00C85F99" w:rsidRPr="008A68F1" w:rsidRDefault="00C85F99" w:rsidP="008A68F1">
            <w:pPr>
              <w:tabs>
                <w:tab w:val="left" w:pos="6266"/>
              </w:tabs>
              <w:spacing w:after="0" w:line="360" w:lineRule="auto"/>
              <w:ind w:right="69"/>
              <w:rPr>
                <w:rFonts w:asciiTheme="majorBidi" w:hAnsiTheme="majorBidi" w:cstheme="majorBidi"/>
                <w:b/>
                <w:iCs/>
                <w:sz w:val="24"/>
                <w:szCs w:val="24"/>
                <w:lang w:bidi="ar-TN"/>
              </w:rPr>
            </w:pPr>
            <w:r w:rsidRPr="008A68F1">
              <w:rPr>
                <w:rFonts w:asciiTheme="majorBidi" w:hAnsiTheme="majorBidi" w:cstheme="majorBidi"/>
                <w:b/>
                <w:iCs/>
                <w:sz w:val="24"/>
                <w:szCs w:val="24"/>
                <w:lang w:bidi="ar-TN"/>
              </w:rPr>
              <w:t>1</w:t>
            </w:r>
            <w:r w:rsidRPr="008A68F1">
              <w:rPr>
                <w:rFonts w:asciiTheme="majorBidi" w:hAnsiTheme="majorBidi" w:cstheme="majorBidi"/>
                <w:b/>
                <w:iCs/>
                <w:sz w:val="24"/>
                <w:szCs w:val="24"/>
                <w:vertAlign w:val="superscript"/>
                <w:lang w:bidi="ar-TN"/>
              </w:rPr>
              <w:t>ère</w:t>
            </w:r>
            <w:r w:rsidRPr="008A68F1">
              <w:rPr>
                <w:rFonts w:asciiTheme="majorBidi" w:hAnsiTheme="majorBidi" w:cstheme="majorBidi"/>
                <w:b/>
                <w:iCs/>
                <w:sz w:val="24"/>
                <w:szCs w:val="24"/>
                <w:lang w:bidi="ar-TN"/>
              </w:rPr>
              <w:t xml:space="preserve"> étape : Pré-inscription en ligne </w:t>
            </w:r>
          </w:p>
        </w:tc>
      </w:tr>
      <w:tr w:rsidR="00C85F99" w:rsidRPr="008A68F1" w:rsidTr="00C85F99">
        <w:trPr>
          <w:trHeight w:val="5035"/>
        </w:trPr>
        <w:tc>
          <w:tcPr>
            <w:tcW w:w="10207" w:type="dxa"/>
            <w:tcBorders>
              <w:top w:val="single" w:sz="12" w:space="0" w:color="auto"/>
              <w:bottom w:val="single" w:sz="4" w:space="0" w:color="auto"/>
            </w:tcBorders>
            <w:vAlign w:val="center"/>
          </w:tcPr>
          <w:p w:rsidR="00C85F99" w:rsidRPr="008A68F1" w:rsidRDefault="00C85F99" w:rsidP="008A68F1">
            <w:pPr>
              <w:spacing w:after="0" w:line="360" w:lineRule="auto"/>
              <w:ind w:right="249"/>
              <w:rPr>
                <w:rFonts w:asciiTheme="majorBidi" w:hAnsiTheme="majorBidi" w:cstheme="majorBidi"/>
                <w:sz w:val="24"/>
                <w:szCs w:val="24"/>
              </w:rPr>
            </w:pPr>
          </w:p>
          <w:p w:rsidR="006B77B2" w:rsidRPr="008A68F1" w:rsidRDefault="006B77B2" w:rsidP="006B77B2">
            <w:pPr>
              <w:pStyle w:val="Paragraphedeliste"/>
              <w:numPr>
                <w:ilvl w:val="0"/>
                <w:numId w:val="4"/>
              </w:numPr>
              <w:spacing w:before="0" w:after="0"/>
              <w:ind w:left="0" w:right="249" w:firstLine="0"/>
              <w:jc w:val="left"/>
              <w:rPr>
                <w:rFonts w:asciiTheme="majorBidi" w:hAnsiTheme="majorBidi" w:cstheme="majorBidi"/>
                <w:sz w:val="24"/>
                <w:szCs w:val="24"/>
              </w:rPr>
            </w:pPr>
            <w:r w:rsidRPr="008A68F1">
              <w:rPr>
                <w:rFonts w:asciiTheme="majorBidi" w:hAnsiTheme="majorBidi" w:cstheme="majorBidi"/>
                <w:iCs/>
                <w:sz w:val="24"/>
                <w:szCs w:val="24"/>
                <w:lang w:bidi="ar-TN"/>
              </w:rPr>
              <w:t xml:space="preserve">Les candidats doivent se préinscrire exclusivement via le système d’information de l’UVT et </w:t>
            </w:r>
            <w:r w:rsidRPr="008A68F1">
              <w:rPr>
                <w:rFonts w:asciiTheme="majorBidi" w:hAnsiTheme="majorBidi" w:cstheme="majorBidi"/>
                <w:b/>
                <w:bCs/>
                <w:iCs/>
                <w:sz w:val="24"/>
                <w:szCs w:val="24"/>
                <w:lang w:bidi="ar-TN"/>
              </w:rPr>
              <w:t xml:space="preserve">au plus tard le </w:t>
            </w:r>
            <w:r w:rsidRPr="008A68F1">
              <w:rPr>
                <w:rFonts w:asciiTheme="majorBidi" w:hAnsiTheme="majorBidi" w:cstheme="majorBidi"/>
                <w:b/>
                <w:bCs/>
                <w:sz w:val="24"/>
                <w:szCs w:val="24"/>
              </w:rPr>
              <w:t>15 août 2021.</w:t>
            </w:r>
          </w:p>
          <w:p w:rsidR="006B77B2" w:rsidRPr="008A68F1" w:rsidRDefault="006B77B2" w:rsidP="006B77B2">
            <w:pPr>
              <w:pStyle w:val="Paragraphedeliste"/>
              <w:spacing w:before="0" w:after="0"/>
              <w:ind w:left="0" w:right="249" w:firstLine="0"/>
              <w:jc w:val="left"/>
              <w:rPr>
                <w:rFonts w:asciiTheme="majorBidi" w:hAnsiTheme="majorBidi" w:cstheme="majorBidi"/>
                <w:sz w:val="24"/>
                <w:szCs w:val="24"/>
              </w:rPr>
            </w:pPr>
            <w:r w:rsidRPr="008A68F1">
              <w:rPr>
                <w:rFonts w:asciiTheme="majorBidi" w:hAnsiTheme="majorBidi" w:cstheme="majorBidi"/>
                <w:iCs/>
                <w:sz w:val="24"/>
                <w:szCs w:val="24"/>
                <w:lang w:bidi="ar-TN"/>
              </w:rPr>
              <w:t xml:space="preserve"> Le lien de préinscription est le suivant :</w:t>
            </w:r>
          </w:p>
          <w:p w:rsidR="00C85F99" w:rsidRPr="008A68F1" w:rsidRDefault="00CB0083" w:rsidP="008A68F1">
            <w:pPr>
              <w:spacing w:after="0" w:line="360" w:lineRule="auto"/>
              <w:ind w:left="1449" w:right="249"/>
              <w:rPr>
                <w:rFonts w:asciiTheme="majorBidi" w:hAnsiTheme="majorBidi" w:cstheme="majorBidi"/>
                <w:sz w:val="24"/>
                <w:szCs w:val="24"/>
              </w:rPr>
            </w:pPr>
            <w:r w:rsidRPr="00CB0083">
              <w:rPr>
                <w:rFonts w:asciiTheme="majorBidi" w:hAnsiTheme="majorBidi" w:cstheme="majorBidi"/>
                <w:sz w:val="24"/>
                <w:szCs w:val="24"/>
              </w:rPr>
              <w:t>http://www.uvt.rnu.tn/candidature/?formation=1-MP2L-219</w:t>
            </w:r>
          </w:p>
          <w:p w:rsidR="00F261B8" w:rsidRPr="008A68F1" w:rsidRDefault="00F261B8" w:rsidP="008A68F1">
            <w:pPr>
              <w:spacing w:after="0" w:line="360" w:lineRule="auto"/>
              <w:ind w:right="249"/>
              <w:rPr>
                <w:rFonts w:asciiTheme="majorBidi" w:hAnsiTheme="majorBidi" w:cstheme="majorBidi"/>
                <w:sz w:val="24"/>
                <w:szCs w:val="24"/>
              </w:rPr>
            </w:pPr>
          </w:p>
          <w:p w:rsidR="00C85F99" w:rsidRPr="008A68F1" w:rsidRDefault="00C85F99" w:rsidP="008A68F1">
            <w:pPr>
              <w:spacing w:after="0" w:line="360" w:lineRule="auto"/>
              <w:ind w:right="249"/>
              <w:rPr>
                <w:rFonts w:asciiTheme="majorBidi" w:hAnsiTheme="majorBidi" w:cstheme="majorBidi"/>
                <w:iCs/>
                <w:sz w:val="24"/>
                <w:szCs w:val="24"/>
                <w:lang w:bidi="ar-TN"/>
              </w:rPr>
            </w:pPr>
            <w:r w:rsidRPr="006B77B2">
              <w:rPr>
                <w:rFonts w:asciiTheme="majorBidi" w:hAnsiTheme="majorBidi" w:cstheme="majorBidi"/>
                <w:b/>
                <w:bCs/>
                <w:iCs/>
                <w:sz w:val="24"/>
                <w:szCs w:val="24"/>
                <w:lang w:bidi="ar-TN"/>
              </w:rPr>
              <w:t xml:space="preserve">Les pièces en version numérique nécessaires pour la pré-inscription </w:t>
            </w:r>
            <w:r w:rsidRPr="006B77B2">
              <w:rPr>
                <w:rFonts w:asciiTheme="majorBidi" w:hAnsiTheme="majorBidi" w:cstheme="majorBidi"/>
                <w:iCs/>
                <w:sz w:val="24"/>
                <w:szCs w:val="24"/>
                <w:lang w:bidi="ar-TN"/>
              </w:rPr>
              <w:t>:</w:t>
            </w:r>
            <w:r w:rsidRPr="008A68F1">
              <w:rPr>
                <w:rFonts w:asciiTheme="majorBidi" w:hAnsiTheme="majorBidi" w:cstheme="majorBidi"/>
                <w:iCs/>
                <w:sz w:val="24"/>
                <w:szCs w:val="24"/>
                <w:lang w:bidi="ar-TN"/>
              </w:rPr>
              <w:t xml:space="preserve"> </w:t>
            </w:r>
          </w:p>
          <w:p w:rsidR="00C85F99" w:rsidRPr="008A68F1" w:rsidRDefault="00C85F99" w:rsidP="008A68F1">
            <w:pPr>
              <w:spacing w:after="0" w:line="360" w:lineRule="auto"/>
              <w:ind w:right="249"/>
              <w:rPr>
                <w:rFonts w:asciiTheme="majorBidi" w:hAnsiTheme="majorBidi" w:cstheme="majorBidi"/>
                <w:iCs/>
                <w:sz w:val="24"/>
                <w:szCs w:val="24"/>
                <w:lang w:bidi="ar-TN"/>
              </w:rPr>
            </w:pP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Demande d’inscription au nom du président de l’UVT ;</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CV ;</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Copie de la carte d’identité nationale (ou du passeport pour les étrangers) ;</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Copie du baccalauréat et du relevé des notes ;</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Copie de tous les diplômes universitaires et les relevés de notes pour toutes les années universitaires y compris les années de redoublement;</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sz w:val="24"/>
                <w:szCs w:val="24"/>
                <w:lang w:bidi="ar-TN"/>
              </w:rPr>
              <w:t>Copie de l’équivalence en cas de diplômes étrangers ou en prévenance des établissements d’enseignement supérieur privé</w:t>
            </w:r>
            <w:r w:rsidR="0007745E" w:rsidRPr="008A68F1">
              <w:rPr>
                <w:rFonts w:asciiTheme="majorBidi" w:hAnsiTheme="majorBidi" w:cstheme="majorBidi"/>
                <w:iCs/>
                <w:sz w:val="24"/>
                <w:szCs w:val="24"/>
                <w:lang w:bidi="ar-TN"/>
              </w:rPr>
              <w:t> ;</w:t>
            </w:r>
          </w:p>
          <w:p w:rsidR="00C85F99" w:rsidRPr="008A68F1" w:rsidRDefault="00C85F99"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Attestations de travail, de stages ou tout autre document attestent l’expérience professionnelle, c</w:t>
            </w:r>
            <w:r w:rsidR="0007745E" w:rsidRPr="008A68F1">
              <w:rPr>
                <w:rFonts w:asciiTheme="majorBidi" w:hAnsiTheme="majorBidi" w:cstheme="majorBidi"/>
                <w:iCs/>
                <w:color w:val="000000"/>
                <w:sz w:val="24"/>
                <w:szCs w:val="24"/>
                <w:lang w:bidi="ar-TN"/>
              </w:rPr>
              <w:t>lassées par ordre chronologique ;</w:t>
            </w:r>
          </w:p>
          <w:p w:rsidR="00C85F99" w:rsidRPr="008A68F1" w:rsidRDefault="0007745E" w:rsidP="008A68F1">
            <w:pPr>
              <w:numPr>
                <w:ilvl w:val="0"/>
                <w:numId w:val="1"/>
              </w:numPr>
              <w:tabs>
                <w:tab w:val="clear" w:pos="783"/>
              </w:tabs>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Attestations de formation ;</w:t>
            </w:r>
          </w:p>
          <w:p w:rsidR="00746D06" w:rsidRPr="008A68F1" w:rsidRDefault="00746D06" w:rsidP="008A68F1">
            <w:pPr>
              <w:numPr>
                <w:ilvl w:val="0"/>
                <w:numId w:val="9"/>
              </w:numPr>
              <w:spacing w:after="0" w:line="360" w:lineRule="auto"/>
              <w:ind w:left="370"/>
              <w:jc w:val="both"/>
              <w:rPr>
                <w:rFonts w:asciiTheme="majorBidi" w:hAnsiTheme="majorBidi" w:cstheme="majorBidi"/>
                <w:iCs/>
                <w:color w:val="000000"/>
                <w:sz w:val="24"/>
                <w:szCs w:val="24"/>
                <w:lang w:bidi="ar-TN"/>
              </w:rPr>
            </w:pPr>
            <w:r w:rsidRPr="008A68F1">
              <w:rPr>
                <w:rFonts w:asciiTheme="majorBidi" w:hAnsiTheme="majorBidi" w:cstheme="majorBidi"/>
                <w:iCs/>
                <w:color w:val="000000"/>
                <w:sz w:val="24"/>
                <w:szCs w:val="24"/>
                <w:lang w:bidi="ar-TN"/>
              </w:rPr>
              <w:t xml:space="preserve">Une </w:t>
            </w:r>
            <w:r w:rsidR="007E4A53" w:rsidRPr="008A68F1">
              <w:rPr>
                <w:rFonts w:asciiTheme="majorBidi" w:hAnsiTheme="majorBidi" w:cstheme="majorBidi"/>
                <w:iCs/>
                <w:color w:val="000000"/>
                <w:sz w:val="24"/>
                <w:szCs w:val="24"/>
                <w:lang w:bidi="ar-TN"/>
              </w:rPr>
              <w:t>lettre de motivation</w:t>
            </w:r>
            <w:r w:rsidRPr="008A68F1">
              <w:rPr>
                <w:rFonts w:asciiTheme="majorBidi" w:hAnsiTheme="majorBidi" w:cstheme="majorBidi"/>
                <w:iCs/>
                <w:color w:val="000000"/>
                <w:sz w:val="24"/>
                <w:szCs w:val="24"/>
                <w:lang w:bidi="ar-TN"/>
              </w:rPr>
              <w:t xml:space="preserve"> montrant l’intérêt pour poursuivre le mastère, les objectifs professionnels recherchés et l’aptitude à inscrire cette formation dans </w:t>
            </w:r>
            <w:r w:rsidR="0007745E" w:rsidRPr="008A68F1">
              <w:rPr>
                <w:rFonts w:asciiTheme="majorBidi" w:hAnsiTheme="majorBidi" w:cstheme="majorBidi"/>
                <w:iCs/>
                <w:color w:val="000000"/>
                <w:sz w:val="24"/>
                <w:szCs w:val="24"/>
                <w:lang w:bidi="ar-TN"/>
              </w:rPr>
              <w:t>un projet professionnel précis.</w:t>
            </w:r>
          </w:p>
          <w:p w:rsidR="00C85F99" w:rsidRPr="008A68F1" w:rsidRDefault="00C85F99" w:rsidP="008A68F1">
            <w:pPr>
              <w:pStyle w:val="Paragraphedeliste"/>
              <w:tabs>
                <w:tab w:val="left" w:pos="375"/>
              </w:tabs>
              <w:spacing w:before="0" w:after="0"/>
              <w:ind w:left="91" w:right="249" w:firstLine="0"/>
              <w:jc w:val="left"/>
              <w:rPr>
                <w:rFonts w:asciiTheme="majorBidi" w:hAnsiTheme="majorBidi" w:cstheme="majorBidi"/>
                <w:iCs/>
                <w:sz w:val="24"/>
                <w:szCs w:val="24"/>
                <w:lang w:bidi="ar-TN"/>
              </w:rPr>
            </w:pPr>
          </w:p>
          <w:p w:rsidR="00C85F99" w:rsidRPr="008A68F1" w:rsidRDefault="00C85F99" w:rsidP="008A68F1">
            <w:pPr>
              <w:pStyle w:val="Paragraphedeliste"/>
              <w:tabs>
                <w:tab w:val="left" w:pos="375"/>
              </w:tabs>
              <w:spacing w:before="0" w:after="0"/>
              <w:ind w:left="91" w:right="249" w:firstLine="0"/>
              <w:jc w:val="left"/>
              <w:rPr>
                <w:rFonts w:asciiTheme="majorBidi" w:eastAsia="Times New Roman" w:hAnsiTheme="majorBidi" w:cstheme="majorBidi"/>
                <w:b/>
                <w:bCs/>
                <w:i/>
                <w:sz w:val="24"/>
                <w:szCs w:val="24"/>
              </w:rPr>
            </w:pPr>
            <w:r w:rsidRPr="008A68F1">
              <w:rPr>
                <w:rFonts w:asciiTheme="majorBidi" w:eastAsia="Times New Roman" w:hAnsiTheme="majorBidi" w:cstheme="majorBidi"/>
                <w:b/>
                <w:bCs/>
                <w:i/>
                <w:spacing w:val="-1"/>
                <w:sz w:val="24"/>
                <w:szCs w:val="24"/>
              </w:rPr>
              <w:t>N</w:t>
            </w:r>
            <w:r w:rsidRPr="008A68F1">
              <w:rPr>
                <w:rFonts w:asciiTheme="majorBidi" w:eastAsia="Times New Roman" w:hAnsiTheme="majorBidi" w:cstheme="majorBidi"/>
                <w:b/>
                <w:bCs/>
                <w:i/>
                <w:sz w:val="24"/>
                <w:szCs w:val="24"/>
              </w:rPr>
              <w:t>B : Toute fausse information déclarée sur la plateforme de préinscription et toutes pièces manquantes entrainent systématiquement le rejet de la candidature.</w:t>
            </w:r>
          </w:p>
          <w:p w:rsidR="00C85F99" w:rsidRPr="008A68F1" w:rsidRDefault="00C85F99" w:rsidP="008A68F1">
            <w:pPr>
              <w:pStyle w:val="Paragraphedeliste"/>
              <w:tabs>
                <w:tab w:val="left" w:pos="375"/>
              </w:tabs>
              <w:spacing w:before="0" w:after="0"/>
              <w:ind w:left="91" w:right="249" w:firstLine="0"/>
              <w:jc w:val="left"/>
              <w:rPr>
                <w:rFonts w:asciiTheme="majorBidi" w:eastAsia="Times New Roman" w:hAnsiTheme="majorBidi" w:cstheme="majorBidi"/>
                <w:b/>
                <w:bCs/>
                <w:i/>
                <w:sz w:val="24"/>
                <w:szCs w:val="24"/>
              </w:rPr>
            </w:pPr>
          </w:p>
          <w:p w:rsidR="008A68F1" w:rsidRDefault="008A68F1" w:rsidP="008A68F1">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p>
          <w:p w:rsidR="005C534A" w:rsidRDefault="005C534A" w:rsidP="008A68F1">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p>
          <w:p w:rsidR="005C534A" w:rsidRDefault="005C534A" w:rsidP="008A68F1">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p>
          <w:p w:rsidR="005C534A" w:rsidRPr="008A68F1" w:rsidRDefault="005C534A" w:rsidP="008A68F1">
            <w:pPr>
              <w:pStyle w:val="Paragraphedeliste"/>
              <w:tabs>
                <w:tab w:val="left" w:pos="233"/>
                <w:tab w:val="left" w:pos="375"/>
                <w:tab w:val="left" w:pos="516"/>
              </w:tabs>
              <w:spacing w:before="0" w:after="0"/>
              <w:ind w:left="0" w:right="249" w:firstLine="0"/>
              <w:rPr>
                <w:rFonts w:asciiTheme="majorBidi" w:hAnsiTheme="majorBidi" w:cstheme="majorBidi"/>
                <w:iCs/>
                <w:sz w:val="24"/>
                <w:szCs w:val="24"/>
                <w:rtl/>
                <w:lang w:bidi="ar-TN"/>
              </w:rPr>
            </w:pPr>
          </w:p>
        </w:tc>
      </w:tr>
      <w:tr w:rsidR="00C85F99" w:rsidRPr="006B77B2" w:rsidTr="00C85F99">
        <w:trPr>
          <w:trHeight w:val="50"/>
        </w:trPr>
        <w:tc>
          <w:tcPr>
            <w:tcW w:w="10207" w:type="dxa"/>
            <w:tcBorders>
              <w:top w:val="single" w:sz="12" w:space="0" w:color="auto"/>
              <w:bottom w:val="single" w:sz="12" w:space="0" w:color="auto"/>
            </w:tcBorders>
            <w:shd w:val="clear" w:color="auto" w:fill="auto"/>
            <w:vAlign w:val="center"/>
          </w:tcPr>
          <w:p w:rsidR="00C85F99" w:rsidRPr="006B77B2" w:rsidRDefault="00C85F99" w:rsidP="008A68F1">
            <w:pPr>
              <w:spacing w:after="0" w:line="360" w:lineRule="auto"/>
              <w:rPr>
                <w:rFonts w:asciiTheme="majorBidi" w:hAnsiTheme="majorBidi" w:cstheme="majorBidi"/>
                <w:b/>
                <w:bCs/>
                <w:sz w:val="24"/>
                <w:szCs w:val="24"/>
              </w:rPr>
            </w:pPr>
            <w:r w:rsidRPr="006B77B2">
              <w:rPr>
                <w:rFonts w:asciiTheme="majorBidi" w:hAnsiTheme="majorBidi" w:cstheme="majorBidi"/>
                <w:b/>
                <w:bCs/>
                <w:sz w:val="24"/>
                <w:szCs w:val="24"/>
              </w:rPr>
              <w:t>2</w:t>
            </w:r>
            <w:r w:rsidRPr="006B77B2">
              <w:rPr>
                <w:rFonts w:asciiTheme="majorBidi" w:hAnsiTheme="majorBidi" w:cstheme="majorBidi"/>
                <w:b/>
                <w:bCs/>
                <w:sz w:val="24"/>
                <w:szCs w:val="24"/>
                <w:vertAlign w:val="superscript"/>
              </w:rPr>
              <w:t>ème</w:t>
            </w:r>
            <w:r w:rsidRPr="006B77B2">
              <w:rPr>
                <w:rFonts w:asciiTheme="majorBidi" w:hAnsiTheme="majorBidi" w:cstheme="majorBidi"/>
                <w:b/>
                <w:bCs/>
                <w:sz w:val="24"/>
                <w:szCs w:val="24"/>
              </w:rPr>
              <w:t xml:space="preserve"> étape : Dépôt de dossier </w:t>
            </w:r>
          </w:p>
        </w:tc>
      </w:tr>
      <w:tr w:rsidR="00C85F99" w:rsidRPr="006B77B2" w:rsidTr="00C85F99">
        <w:trPr>
          <w:trHeight w:val="50"/>
        </w:trPr>
        <w:tc>
          <w:tcPr>
            <w:tcW w:w="10207" w:type="dxa"/>
            <w:tcBorders>
              <w:top w:val="single" w:sz="12" w:space="0" w:color="auto"/>
              <w:bottom w:val="single" w:sz="12" w:space="0" w:color="auto"/>
            </w:tcBorders>
            <w:shd w:val="clear" w:color="auto" w:fill="auto"/>
            <w:vAlign w:val="center"/>
          </w:tcPr>
          <w:p w:rsidR="00C85F99" w:rsidRPr="006B77B2" w:rsidRDefault="00C85F99" w:rsidP="00ED61B6">
            <w:pPr>
              <w:pStyle w:val="Paragraphedeliste"/>
              <w:numPr>
                <w:ilvl w:val="0"/>
                <w:numId w:val="4"/>
              </w:numPr>
              <w:tabs>
                <w:tab w:val="left" w:pos="375"/>
              </w:tabs>
              <w:spacing w:before="0" w:after="0"/>
              <w:ind w:left="91" w:right="249" w:firstLine="0"/>
              <w:jc w:val="left"/>
              <w:rPr>
                <w:rFonts w:asciiTheme="majorBidi" w:eastAsia="Times New Roman" w:hAnsiTheme="majorBidi" w:cstheme="majorBidi"/>
                <w:b/>
                <w:bCs/>
                <w:iCs/>
                <w:sz w:val="24"/>
                <w:szCs w:val="24"/>
              </w:rPr>
            </w:pPr>
            <w:r w:rsidRPr="006B77B2">
              <w:rPr>
                <w:rFonts w:asciiTheme="majorBidi" w:eastAsia="Times New Roman" w:hAnsiTheme="majorBidi" w:cstheme="majorBidi"/>
                <w:iCs/>
                <w:sz w:val="24"/>
                <w:szCs w:val="24"/>
              </w:rPr>
              <w:t xml:space="preserve">Une fois la sélection est faite </w:t>
            </w:r>
            <w:r w:rsidRPr="006B77B2">
              <w:rPr>
                <w:rFonts w:asciiTheme="majorBidi" w:eastAsia="Times New Roman" w:hAnsiTheme="majorBidi" w:cstheme="majorBidi"/>
                <w:b/>
                <w:bCs/>
                <w:iCs/>
                <w:sz w:val="24"/>
                <w:szCs w:val="24"/>
              </w:rPr>
              <w:t>la liste des candidats présélectionnés sera affichée sur le site web de</w:t>
            </w:r>
            <w:r w:rsidR="006B77B2" w:rsidRPr="006B77B2">
              <w:rPr>
                <w:rFonts w:asciiTheme="majorBidi" w:eastAsia="Times New Roman" w:hAnsiTheme="majorBidi" w:cstheme="majorBidi"/>
                <w:b/>
                <w:bCs/>
                <w:iCs/>
                <w:sz w:val="24"/>
                <w:szCs w:val="24"/>
              </w:rPr>
              <w:t xml:space="preserve"> l’UVT et de</w:t>
            </w:r>
            <w:r w:rsidRPr="006B77B2">
              <w:rPr>
                <w:rFonts w:asciiTheme="majorBidi" w:eastAsia="Times New Roman" w:hAnsiTheme="majorBidi" w:cstheme="majorBidi"/>
                <w:b/>
                <w:bCs/>
                <w:iCs/>
                <w:sz w:val="24"/>
                <w:szCs w:val="24"/>
              </w:rPr>
              <w:t xml:space="preserve"> l’</w:t>
            </w:r>
            <w:r w:rsidR="00ED61B6" w:rsidRPr="006B77B2">
              <w:rPr>
                <w:rFonts w:asciiTheme="majorBidi" w:eastAsia="Times New Roman" w:hAnsiTheme="majorBidi" w:cstheme="majorBidi"/>
                <w:b/>
                <w:bCs/>
                <w:iCs/>
                <w:sz w:val="24"/>
                <w:szCs w:val="24"/>
              </w:rPr>
              <w:t>ISI</w:t>
            </w:r>
            <w:r w:rsidRPr="006B77B2">
              <w:rPr>
                <w:rFonts w:asciiTheme="majorBidi" w:eastAsia="Times New Roman" w:hAnsiTheme="majorBidi" w:cstheme="majorBidi"/>
                <w:b/>
                <w:bCs/>
                <w:iCs/>
                <w:sz w:val="24"/>
                <w:szCs w:val="24"/>
              </w:rPr>
              <w:t>.</w:t>
            </w:r>
          </w:p>
          <w:p w:rsidR="00C85F99" w:rsidRPr="006B77B2" w:rsidRDefault="00C85F99" w:rsidP="008A68F1">
            <w:pPr>
              <w:pStyle w:val="Paragraphedeliste"/>
              <w:tabs>
                <w:tab w:val="left" w:pos="375"/>
              </w:tabs>
              <w:spacing w:before="0" w:after="0"/>
              <w:ind w:left="91" w:right="249" w:firstLine="0"/>
              <w:jc w:val="left"/>
              <w:rPr>
                <w:rFonts w:asciiTheme="majorBidi" w:eastAsia="Times New Roman" w:hAnsiTheme="majorBidi" w:cstheme="majorBidi"/>
                <w:iCs/>
                <w:sz w:val="24"/>
                <w:szCs w:val="24"/>
              </w:rPr>
            </w:pPr>
          </w:p>
          <w:p w:rsidR="00C85F99" w:rsidRPr="006B77B2" w:rsidRDefault="00C85F99" w:rsidP="008A68F1">
            <w:pPr>
              <w:pStyle w:val="Paragraphedeliste"/>
              <w:tabs>
                <w:tab w:val="left" w:pos="375"/>
              </w:tabs>
              <w:spacing w:before="0" w:after="0"/>
              <w:ind w:left="91" w:right="249" w:firstLine="0"/>
              <w:jc w:val="left"/>
              <w:rPr>
                <w:rFonts w:asciiTheme="majorBidi" w:hAnsiTheme="majorBidi" w:cstheme="majorBidi"/>
                <w:iCs/>
                <w:color w:val="000000" w:themeColor="text1"/>
                <w:sz w:val="24"/>
                <w:szCs w:val="24"/>
                <w:lang w:bidi="ar-TN"/>
              </w:rPr>
            </w:pPr>
            <w:r w:rsidRPr="006B77B2">
              <w:rPr>
                <w:rFonts w:asciiTheme="majorBidi" w:eastAsia="Times New Roman" w:hAnsiTheme="majorBidi" w:cstheme="majorBidi"/>
                <w:b/>
                <w:bCs/>
                <w:iCs/>
                <w:sz w:val="24"/>
                <w:szCs w:val="24"/>
              </w:rPr>
              <w:t>Seuls les candidats présélectionnés</w:t>
            </w:r>
            <w:r w:rsidRPr="006B77B2">
              <w:rPr>
                <w:rFonts w:asciiTheme="majorBidi" w:eastAsia="Times New Roman" w:hAnsiTheme="majorBidi" w:cstheme="majorBidi"/>
                <w:iCs/>
                <w:sz w:val="24"/>
                <w:szCs w:val="24"/>
              </w:rPr>
              <w:t xml:space="preserve"> seront appelés à finaliser l’inscription par le dépôt de la version papier de toutes les pièces déposées précédemment sur le système d’information, au bureau d’ordre de l’UVT, à l’adresse suivante : </w:t>
            </w:r>
            <w:r w:rsidRPr="006B77B2">
              <w:rPr>
                <w:rFonts w:asciiTheme="majorBidi" w:hAnsiTheme="majorBidi" w:cstheme="majorBidi"/>
                <w:iCs/>
                <w:sz w:val="24"/>
                <w:szCs w:val="24"/>
                <w:lang w:bidi="ar-TN"/>
              </w:rPr>
              <w:t>13, Rue Ibn Nadim, 1073 Montplaisir, Tunis. (La</w:t>
            </w:r>
            <w:r w:rsidRPr="006B77B2">
              <w:rPr>
                <w:rFonts w:asciiTheme="majorBidi" w:hAnsiTheme="majorBidi" w:cstheme="majorBidi"/>
                <w:iCs/>
                <w:color w:val="000000" w:themeColor="text1"/>
                <w:sz w:val="24"/>
                <w:szCs w:val="24"/>
                <w:lang w:bidi="ar-TN"/>
              </w:rPr>
              <w:t xml:space="preserve"> date limite du dépôt sera fixée ultérieurement)</w:t>
            </w:r>
          </w:p>
          <w:p w:rsidR="00C85F99" w:rsidRPr="006B77B2" w:rsidRDefault="00C85F99" w:rsidP="008A68F1">
            <w:pPr>
              <w:spacing w:after="0" w:line="360" w:lineRule="auto"/>
              <w:rPr>
                <w:rFonts w:asciiTheme="majorBidi" w:hAnsiTheme="majorBidi" w:cstheme="majorBidi"/>
                <w:b/>
                <w:bCs/>
                <w:sz w:val="24"/>
                <w:szCs w:val="24"/>
              </w:rPr>
            </w:pPr>
          </w:p>
        </w:tc>
      </w:tr>
      <w:tr w:rsidR="00C85F99" w:rsidRPr="008A68F1" w:rsidTr="00C85F99">
        <w:trPr>
          <w:trHeight w:val="50"/>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spacing w:after="0" w:line="360" w:lineRule="auto"/>
              <w:rPr>
                <w:rFonts w:asciiTheme="majorBidi" w:hAnsiTheme="majorBidi" w:cstheme="majorBidi"/>
                <w:b/>
                <w:bCs/>
                <w:sz w:val="24"/>
                <w:szCs w:val="24"/>
              </w:rPr>
            </w:pPr>
            <w:r w:rsidRPr="008A68F1">
              <w:rPr>
                <w:rFonts w:asciiTheme="majorBidi" w:hAnsiTheme="majorBidi" w:cstheme="majorBidi"/>
                <w:b/>
                <w:bCs/>
                <w:sz w:val="24"/>
                <w:szCs w:val="24"/>
              </w:rPr>
              <w:t>Les droits d’inscription pour les tunisiens :</w:t>
            </w:r>
          </w:p>
        </w:tc>
      </w:tr>
      <w:tr w:rsidR="00C85F99" w:rsidRPr="008A68F1" w:rsidTr="00C85F99">
        <w:trPr>
          <w:trHeight w:val="50"/>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pStyle w:val="Paragraphedeliste"/>
              <w:numPr>
                <w:ilvl w:val="0"/>
                <w:numId w:val="8"/>
              </w:numPr>
              <w:tabs>
                <w:tab w:val="left" w:pos="91"/>
                <w:tab w:val="left" w:pos="233"/>
              </w:tabs>
              <w:spacing w:before="0" w:after="0"/>
              <w:contextualSpacing w:val="0"/>
              <w:jc w:val="left"/>
              <w:rPr>
                <w:rFonts w:asciiTheme="majorBidi" w:hAnsiTheme="majorBidi" w:cstheme="majorBidi"/>
                <w:i/>
                <w:iCs/>
                <w:sz w:val="24"/>
                <w:szCs w:val="24"/>
                <w:lang w:bidi="ar-TN"/>
              </w:rPr>
            </w:pPr>
            <w:r w:rsidRPr="008A68F1">
              <w:rPr>
                <w:rFonts w:asciiTheme="majorBidi" w:hAnsiTheme="majorBidi" w:cstheme="majorBidi"/>
                <w:b/>
                <w:bCs/>
                <w:sz w:val="24"/>
                <w:szCs w:val="24"/>
                <w:lang w:bidi="ar-TN"/>
              </w:rPr>
              <w:t xml:space="preserve">1605 DT / année universitaire </w:t>
            </w:r>
            <w:r w:rsidRPr="008A68F1">
              <w:rPr>
                <w:rFonts w:asciiTheme="majorBidi" w:hAnsiTheme="majorBidi" w:cstheme="majorBidi"/>
                <w:b/>
                <w:bCs/>
                <w:iCs/>
                <w:sz w:val="24"/>
                <w:szCs w:val="24"/>
                <w:lang w:bidi="ar-TN"/>
              </w:rPr>
              <w:t xml:space="preserve">(1500 + 07%TVA) </w:t>
            </w:r>
            <w:r w:rsidRPr="008A68F1">
              <w:rPr>
                <w:rFonts w:asciiTheme="majorBidi" w:hAnsiTheme="majorBidi" w:cstheme="majorBidi"/>
                <w:iCs/>
                <w:sz w:val="24"/>
                <w:szCs w:val="24"/>
                <w:lang w:bidi="ar-TN"/>
              </w:rPr>
              <w:t xml:space="preserve">dans le cas de prise en charge personnelle.   </w:t>
            </w:r>
          </w:p>
          <w:p w:rsidR="00C85F99" w:rsidRPr="006B77B2" w:rsidRDefault="00C85F99" w:rsidP="006B77B2">
            <w:pPr>
              <w:pStyle w:val="Paragraphedeliste"/>
              <w:numPr>
                <w:ilvl w:val="0"/>
                <w:numId w:val="8"/>
              </w:numPr>
              <w:tabs>
                <w:tab w:val="left" w:pos="233"/>
                <w:tab w:val="left" w:pos="375"/>
                <w:tab w:val="left" w:pos="516"/>
              </w:tabs>
              <w:spacing w:before="0" w:after="0"/>
              <w:ind w:right="249"/>
              <w:rPr>
                <w:rFonts w:asciiTheme="majorBidi" w:hAnsiTheme="majorBidi" w:cstheme="majorBidi"/>
                <w:iCs/>
                <w:sz w:val="24"/>
                <w:szCs w:val="24"/>
                <w:lang w:bidi="ar-TN"/>
              </w:rPr>
            </w:pPr>
            <w:r w:rsidRPr="008A68F1">
              <w:rPr>
                <w:rFonts w:asciiTheme="majorBidi" w:hAnsiTheme="majorBidi" w:cstheme="majorBidi"/>
                <w:b/>
                <w:bCs/>
                <w:iCs/>
                <w:sz w:val="24"/>
                <w:szCs w:val="24"/>
                <w:lang w:bidi="ar-TN"/>
              </w:rPr>
              <w:t xml:space="preserve">1785.600 DT / année universitaire (1500 + 19%TVA+ 0.600DT droit de timbre) </w:t>
            </w:r>
            <w:r w:rsidRPr="008A68F1">
              <w:rPr>
                <w:rFonts w:asciiTheme="majorBidi" w:hAnsiTheme="majorBidi" w:cstheme="majorBidi"/>
                <w:iCs/>
                <w:sz w:val="24"/>
                <w:szCs w:val="24"/>
                <w:lang w:bidi="ar-TN"/>
              </w:rPr>
              <w:t>dans le cas où le paiement est pris en charge par un établissement (public ou privé).</w:t>
            </w:r>
          </w:p>
          <w:p w:rsidR="005C534A" w:rsidRPr="00562FFF" w:rsidRDefault="005C534A" w:rsidP="006B77B2">
            <w:pPr>
              <w:pStyle w:val="Paragraphedeliste"/>
              <w:numPr>
                <w:ilvl w:val="0"/>
                <w:numId w:val="8"/>
              </w:numPr>
              <w:tabs>
                <w:tab w:val="left" w:pos="247"/>
              </w:tabs>
              <w:spacing w:line="240" w:lineRule="auto"/>
              <w:contextualSpacing w:val="0"/>
              <w:jc w:val="left"/>
              <w:rPr>
                <w:rFonts w:ascii="Simplified Arabic" w:hAnsi="Simplified Arabic" w:cs="Simplified Arabic"/>
                <w:lang w:bidi="ar-TN"/>
              </w:rPr>
            </w:pPr>
            <w:r w:rsidRPr="006B77B2">
              <w:rPr>
                <w:rFonts w:ascii="Simplified Arabic" w:hAnsi="Simplified Arabic" w:cs="Simplified Arabic"/>
                <w:b/>
                <w:bCs/>
                <w:lang w:bidi="ar-TN"/>
              </w:rPr>
              <w:t>Les tarifs ci-dessous sont accordés aux candidats titulaires d’un diplôme universitaire, depuis moins de 2 ans</w:t>
            </w:r>
            <w:r w:rsidRPr="00562FFF">
              <w:rPr>
                <w:rFonts w:ascii="Simplified Arabic" w:hAnsi="Simplified Arabic" w:cs="Simplified Arabic"/>
                <w:lang w:bidi="ar-TN"/>
              </w:rPr>
              <w:t>, dont l’âge ne dépasse pas 26 ans et n’exerçant aucune activité professionnelle :</w:t>
            </w:r>
          </w:p>
          <w:tbl>
            <w:tblPr>
              <w:tblW w:w="945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1701"/>
              <w:gridCol w:w="992"/>
              <w:gridCol w:w="3118"/>
              <w:gridCol w:w="1701"/>
            </w:tblGrid>
            <w:tr w:rsidR="005C534A" w:rsidRPr="00562FFF" w:rsidTr="002D239B">
              <w:tc>
                <w:tcPr>
                  <w:tcW w:w="1946" w:type="dxa"/>
                  <w:tcBorders>
                    <w:bottom w:val="single" w:sz="6" w:space="0" w:color="000000"/>
                    <w:right w:val="single" w:sz="6" w:space="0" w:color="000000"/>
                  </w:tcBorders>
                  <w:shd w:val="clear" w:color="auto" w:fill="auto"/>
                  <w:vAlign w:val="center"/>
                </w:tcPr>
                <w:p w:rsidR="005C534A" w:rsidRPr="00562FFF" w:rsidRDefault="005C534A" w:rsidP="005C534A">
                  <w:pPr>
                    <w:framePr w:hSpace="141" w:wrap="around" w:vAnchor="text" w:hAnchor="margin" w:xAlign="center" w:y="24"/>
                    <w:spacing w:before="100" w:beforeAutospacing="1" w:after="100" w:afterAutospacing="1"/>
                    <w:jc w:val="center"/>
                    <w:rPr>
                      <w:rFonts w:ascii="Simplified Arabic" w:eastAsia="Calibri" w:hAnsi="Simplified Arabic" w:cs="Simplified Arabic"/>
                      <w:b/>
                      <w:bCs/>
                      <w:i/>
                      <w:iCs/>
                    </w:rPr>
                  </w:pPr>
                  <w:r w:rsidRPr="00562FFF">
                    <w:rPr>
                      <w:rFonts w:ascii="Simplified Arabic" w:hAnsi="Simplified Arabic" w:cs="Simplified Arabic"/>
                      <w:b/>
                      <w:bCs/>
                      <w:i/>
                      <w:iCs/>
                    </w:rPr>
                    <w:t>Droit d’inscription</w:t>
                  </w:r>
                </w:p>
              </w:tc>
              <w:tc>
                <w:tcPr>
                  <w:tcW w:w="1701" w:type="dxa"/>
                  <w:tcBorders>
                    <w:bottom w:val="single" w:sz="6" w:space="0" w:color="000000"/>
                  </w:tcBorders>
                  <w:shd w:val="clear" w:color="auto" w:fill="auto"/>
                  <w:vAlign w:val="center"/>
                </w:tcPr>
                <w:p w:rsidR="005C534A" w:rsidRPr="00562FFF" w:rsidRDefault="005C534A" w:rsidP="005C534A">
                  <w:pPr>
                    <w:framePr w:hSpace="141" w:wrap="around" w:vAnchor="text" w:hAnchor="margin" w:xAlign="center" w:y="24"/>
                    <w:spacing w:before="100" w:beforeAutospacing="1" w:after="100" w:afterAutospacing="1"/>
                    <w:ind w:left="104"/>
                    <w:jc w:val="center"/>
                    <w:rPr>
                      <w:rFonts w:ascii="Simplified Arabic" w:hAnsi="Simplified Arabic" w:cs="Simplified Arabic"/>
                      <w:b/>
                      <w:bCs/>
                      <w:i/>
                      <w:iCs/>
                    </w:rPr>
                  </w:pPr>
                  <w:r w:rsidRPr="00562FFF">
                    <w:rPr>
                      <w:rFonts w:ascii="Simplified Arabic" w:hAnsi="Simplified Arabic" w:cs="Simplified Arabic"/>
                      <w:b/>
                      <w:bCs/>
                      <w:i/>
                      <w:iCs/>
                    </w:rPr>
                    <w:t>MASU</w:t>
                  </w:r>
                </w:p>
              </w:tc>
              <w:tc>
                <w:tcPr>
                  <w:tcW w:w="992" w:type="dxa"/>
                  <w:tcBorders>
                    <w:bottom w:val="single" w:sz="6" w:space="0" w:color="000000"/>
                  </w:tcBorders>
                  <w:shd w:val="clear" w:color="auto" w:fill="auto"/>
                  <w:vAlign w:val="center"/>
                </w:tcPr>
                <w:p w:rsidR="005C534A" w:rsidRPr="00562FFF" w:rsidRDefault="005C534A" w:rsidP="005C534A">
                  <w:pPr>
                    <w:framePr w:hSpace="141" w:wrap="around" w:vAnchor="text" w:hAnchor="margin" w:xAlign="center" w:y="24"/>
                    <w:spacing w:before="100" w:beforeAutospacing="1" w:after="100" w:afterAutospacing="1"/>
                    <w:ind w:left="104"/>
                    <w:jc w:val="center"/>
                    <w:rPr>
                      <w:rFonts w:ascii="Simplified Arabic" w:hAnsi="Simplified Arabic" w:cs="Simplified Arabic"/>
                      <w:b/>
                      <w:bCs/>
                      <w:i/>
                      <w:iCs/>
                    </w:rPr>
                  </w:pPr>
                  <w:r w:rsidRPr="00562FFF">
                    <w:rPr>
                      <w:rFonts w:ascii="Simplified Arabic" w:hAnsi="Simplified Arabic" w:cs="Simplified Arabic"/>
                      <w:b/>
                      <w:bCs/>
                      <w:i/>
                      <w:iCs/>
                    </w:rPr>
                    <w:t>CNSS</w:t>
                  </w:r>
                </w:p>
              </w:tc>
              <w:tc>
                <w:tcPr>
                  <w:tcW w:w="3118" w:type="dxa"/>
                  <w:tcBorders>
                    <w:bottom w:val="single" w:sz="6" w:space="0" w:color="000000"/>
                  </w:tcBorders>
                  <w:shd w:val="clear" w:color="auto" w:fill="auto"/>
                  <w:vAlign w:val="center"/>
                </w:tcPr>
                <w:p w:rsidR="005C534A" w:rsidRPr="00562FFF" w:rsidRDefault="005C534A" w:rsidP="005C534A">
                  <w:pPr>
                    <w:framePr w:hSpace="141" w:wrap="around" w:vAnchor="text" w:hAnchor="margin" w:xAlign="center" w:y="24"/>
                    <w:spacing w:before="100" w:beforeAutospacing="1" w:after="100" w:afterAutospacing="1"/>
                    <w:ind w:left="357"/>
                    <w:jc w:val="center"/>
                    <w:rPr>
                      <w:rFonts w:ascii="Simplified Arabic" w:hAnsi="Simplified Arabic" w:cs="Simplified Arabic"/>
                      <w:b/>
                      <w:bCs/>
                      <w:i/>
                      <w:iCs/>
                    </w:rPr>
                  </w:pPr>
                  <w:r w:rsidRPr="00562FFF">
                    <w:rPr>
                      <w:rFonts w:ascii="Simplified Arabic" w:hAnsi="Simplified Arabic" w:cs="Simplified Arabic"/>
                      <w:b/>
                      <w:bCs/>
                      <w:i/>
                      <w:iCs/>
                    </w:rPr>
                    <w:t>Frais des enveloppes</w:t>
                  </w:r>
                  <w:r w:rsidRPr="00562FFF">
                    <w:rPr>
                      <w:rFonts w:ascii="Simplified Arabic" w:hAnsi="Simplified Arabic" w:cs="Simplified Arabic"/>
                      <w:b/>
                      <w:bCs/>
                      <w:i/>
                      <w:iCs/>
                    </w:rPr>
                    <w:br/>
                    <w:t>et timbres</w:t>
                  </w:r>
                </w:p>
              </w:tc>
              <w:tc>
                <w:tcPr>
                  <w:tcW w:w="1701" w:type="dxa"/>
                  <w:tcBorders>
                    <w:bottom w:val="single" w:sz="6" w:space="0" w:color="000000"/>
                  </w:tcBorders>
                  <w:shd w:val="clear" w:color="auto" w:fill="auto"/>
                  <w:vAlign w:val="center"/>
                </w:tcPr>
                <w:p w:rsidR="005C534A" w:rsidRPr="00562FFF" w:rsidRDefault="005C534A" w:rsidP="005C534A">
                  <w:pPr>
                    <w:framePr w:hSpace="141" w:wrap="around" w:vAnchor="text" w:hAnchor="margin" w:xAlign="center" w:y="24"/>
                    <w:spacing w:before="100" w:beforeAutospacing="1" w:after="100" w:afterAutospacing="1"/>
                    <w:ind w:left="247"/>
                    <w:jc w:val="center"/>
                    <w:rPr>
                      <w:rFonts w:ascii="Simplified Arabic" w:hAnsi="Simplified Arabic" w:cs="Simplified Arabic"/>
                      <w:b/>
                      <w:bCs/>
                      <w:i/>
                      <w:iCs/>
                    </w:rPr>
                  </w:pPr>
                  <w:r w:rsidRPr="00562FFF">
                    <w:rPr>
                      <w:rFonts w:ascii="Simplified Arabic" w:hAnsi="Simplified Arabic" w:cs="Simplified Arabic"/>
                      <w:b/>
                      <w:bCs/>
                      <w:i/>
                      <w:iCs/>
                    </w:rPr>
                    <w:t>Total</w:t>
                  </w:r>
                </w:p>
              </w:tc>
            </w:tr>
            <w:tr w:rsidR="005C534A" w:rsidRPr="00681570" w:rsidTr="002D239B">
              <w:tc>
                <w:tcPr>
                  <w:tcW w:w="1946" w:type="dxa"/>
                  <w:tcBorders>
                    <w:right w:val="single" w:sz="6" w:space="0" w:color="000000"/>
                  </w:tcBorders>
                  <w:shd w:val="clear" w:color="auto" w:fill="auto"/>
                  <w:vAlign w:val="center"/>
                </w:tcPr>
                <w:p w:rsidR="005C534A" w:rsidRPr="00681570" w:rsidRDefault="005C534A" w:rsidP="005C534A">
                  <w:pPr>
                    <w:framePr w:hSpace="141" w:wrap="around" w:vAnchor="text" w:hAnchor="margin" w:xAlign="center" w:y="24"/>
                    <w:spacing w:before="100" w:beforeAutospacing="1" w:after="100" w:afterAutospacing="1"/>
                    <w:ind w:left="357"/>
                    <w:jc w:val="center"/>
                    <w:rPr>
                      <w:rFonts w:ascii="Simplified Arabic" w:hAnsi="Simplified Arabic" w:cs="Simplified Arabic"/>
                    </w:rPr>
                  </w:pPr>
                  <w:r w:rsidRPr="00681570">
                    <w:rPr>
                      <w:rFonts w:ascii="Simplified Arabic" w:hAnsi="Simplified Arabic" w:cs="Simplified Arabic"/>
                    </w:rPr>
                    <w:t>200 DT</w:t>
                  </w:r>
                </w:p>
              </w:tc>
              <w:tc>
                <w:tcPr>
                  <w:tcW w:w="1701" w:type="dxa"/>
                  <w:shd w:val="clear" w:color="auto" w:fill="auto"/>
                  <w:vAlign w:val="center"/>
                </w:tcPr>
                <w:p w:rsidR="005C534A" w:rsidRPr="00681570" w:rsidRDefault="005C534A" w:rsidP="005C534A">
                  <w:pPr>
                    <w:framePr w:hSpace="141" w:wrap="around" w:vAnchor="text" w:hAnchor="margin" w:xAlign="center" w:y="24"/>
                    <w:spacing w:before="100" w:beforeAutospacing="1" w:after="100" w:afterAutospacing="1"/>
                    <w:ind w:left="357"/>
                    <w:jc w:val="center"/>
                    <w:rPr>
                      <w:rFonts w:ascii="Simplified Arabic" w:hAnsi="Simplified Arabic" w:cs="Simplified Arabic"/>
                    </w:rPr>
                  </w:pPr>
                  <w:r w:rsidRPr="00681570">
                    <w:rPr>
                      <w:rFonts w:ascii="Simplified Arabic" w:hAnsi="Simplified Arabic" w:cs="Simplified Arabic"/>
                    </w:rPr>
                    <w:t>3,400 DT</w:t>
                  </w:r>
                </w:p>
              </w:tc>
              <w:tc>
                <w:tcPr>
                  <w:tcW w:w="992" w:type="dxa"/>
                  <w:shd w:val="clear" w:color="auto" w:fill="auto"/>
                  <w:vAlign w:val="center"/>
                </w:tcPr>
                <w:p w:rsidR="005C534A" w:rsidRPr="00681570" w:rsidRDefault="005C534A" w:rsidP="005C534A">
                  <w:pPr>
                    <w:framePr w:hSpace="141" w:wrap="around" w:vAnchor="text" w:hAnchor="margin" w:xAlign="center" w:y="24"/>
                    <w:spacing w:before="100" w:beforeAutospacing="1" w:after="100" w:afterAutospacing="1"/>
                    <w:ind w:left="104"/>
                    <w:jc w:val="center"/>
                    <w:rPr>
                      <w:rFonts w:ascii="Simplified Arabic" w:hAnsi="Simplified Arabic" w:cs="Simplified Arabic"/>
                    </w:rPr>
                  </w:pPr>
                  <w:r w:rsidRPr="00681570">
                    <w:rPr>
                      <w:rFonts w:ascii="Simplified Arabic" w:hAnsi="Simplified Arabic" w:cs="Simplified Arabic"/>
                    </w:rPr>
                    <w:t>5 DT</w:t>
                  </w:r>
                </w:p>
              </w:tc>
              <w:tc>
                <w:tcPr>
                  <w:tcW w:w="3118" w:type="dxa"/>
                  <w:shd w:val="clear" w:color="auto" w:fill="auto"/>
                  <w:vAlign w:val="center"/>
                </w:tcPr>
                <w:p w:rsidR="005C534A" w:rsidRPr="00681570" w:rsidRDefault="005C534A" w:rsidP="005C534A">
                  <w:pPr>
                    <w:framePr w:hSpace="141" w:wrap="around" w:vAnchor="text" w:hAnchor="margin" w:xAlign="center" w:y="24"/>
                    <w:spacing w:before="100" w:beforeAutospacing="1" w:after="100" w:afterAutospacing="1"/>
                    <w:ind w:left="357"/>
                    <w:jc w:val="center"/>
                    <w:rPr>
                      <w:rFonts w:ascii="Simplified Arabic" w:hAnsi="Simplified Arabic" w:cs="Simplified Arabic"/>
                    </w:rPr>
                  </w:pPr>
                  <w:r w:rsidRPr="00681570">
                    <w:rPr>
                      <w:rFonts w:ascii="Simplified Arabic" w:hAnsi="Simplified Arabic" w:cs="Simplified Arabic"/>
                    </w:rPr>
                    <w:t>2 DT</w:t>
                  </w:r>
                </w:p>
              </w:tc>
              <w:tc>
                <w:tcPr>
                  <w:tcW w:w="1701" w:type="dxa"/>
                  <w:shd w:val="clear" w:color="auto" w:fill="auto"/>
                  <w:vAlign w:val="center"/>
                </w:tcPr>
                <w:p w:rsidR="005C534A" w:rsidRPr="00681570" w:rsidRDefault="005C534A" w:rsidP="005C534A">
                  <w:pPr>
                    <w:framePr w:hSpace="141" w:wrap="around" w:vAnchor="text" w:hAnchor="margin" w:xAlign="center" w:y="24"/>
                    <w:spacing w:before="100" w:beforeAutospacing="1" w:after="100" w:afterAutospacing="1"/>
                    <w:ind w:left="105"/>
                    <w:jc w:val="center"/>
                    <w:rPr>
                      <w:rFonts w:ascii="Simplified Arabic" w:hAnsi="Simplified Arabic" w:cs="Simplified Arabic"/>
                      <w:b/>
                      <w:bCs/>
                    </w:rPr>
                  </w:pPr>
                  <w:r w:rsidRPr="00681570">
                    <w:rPr>
                      <w:rFonts w:ascii="Simplified Arabic" w:hAnsi="Simplified Arabic" w:cs="Simplified Arabic"/>
                      <w:b/>
                      <w:bCs/>
                    </w:rPr>
                    <w:t>210,400 DT</w:t>
                  </w:r>
                </w:p>
              </w:tc>
            </w:tr>
          </w:tbl>
          <w:p w:rsidR="006B77B2" w:rsidRDefault="006B77B2" w:rsidP="006B77B2">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p>
          <w:p w:rsidR="006B77B2" w:rsidRDefault="006B77B2" w:rsidP="006B77B2">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r w:rsidRPr="008A68F1">
              <w:rPr>
                <w:rFonts w:asciiTheme="majorBidi" w:hAnsiTheme="majorBidi" w:cstheme="majorBidi"/>
                <w:iCs/>
                <w:sz w:val="24"/>
                <w:szCs w:val="24"/>
                <w:lang w:bidi="ar-TN"/>
              </w:rPr>
              <w:t xml:space="preserve">Les candidats retenus sont appelés à payer les droits d’inscription par e-dinar sur le site Web de l’université </w:t>
            </w:r>
            <w:r w:rsidRPr="008A68F1">
              <w:rPr>
                <w:rFonts w:asciiTheme="majorBidi" w:hAnsiTheme="majorBidi" w:cstheme="majorBidi"/>
                <w:b/>
                <w:bCs/>
                <w:iCs/>
                <w:sz w:val="24"/>
                <w:szCs w:val="24"/>
                <w:lang w:bidi="ar-TN"/>
              </w:rPr>
              <w:t>au plus tard le 27 septembre 2021</w:t>
            </w:r>
            <w:r w:rsidRPr="008A68F1">
              <w:rPr>
                <w:rFonts w:asciiTheme="majorBidi" w:hAnsiTheme="majorBidi" w:cstheme="majorBidi"/>
                <w:iCs/>
                <w:sz w:val="24"/>
                <w:szCs w:val="24"/>
                <w:lang w:bidi="ar-TN"/>
              </w:rPr>
              <w:t>.</w:t>
            </w:r>
          </w:p>
          <w:p w:rsidR="005C534A" w:rsidRPr="008A68F1" w:rsidRDefault="005C534A" w:rsidP="008A68F1">
            <w:pPr>
              <w:pStyle w:val="Paragraphedeliste"/>
              <w:tabs>
                <w:tab w:val="left" w:pos="233"/>
                <w:tab w:val="left" w:pos="375"/>
                <w:tab w:val="left" w:pos="516"/>
              </w:tabs>
              <w:spacing w:before="0" w:after="0"/>
              <w:ind w:left="0" w:right="249" w:firstLine="0"/>
              <w:rPr>
                <w:rFonts w:asciiTheme="majorBidi" w:hAnsiTheme="majorBidi" w:cstheme="majorBidi"/>
                <w:iCs/>
                <w:sz w:val="24"/>
                <w:szCs w:val="24"/>
                <w:lang w:bidi="ar-TN"/>
              </w:rPr>
            </w:pPr>
          </w:p>
        </w:tc>
      </w:tr>
      <w:tr w:rsidR="00C85F99" w:rsidRPr="008A68F1" w:rsidTr="00C85F99">
        <w:trPr>
          <w:trHeight w:val="50"/>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spacing w:after="0" w:line="360" w:lineRule="auto"/>
              <w:rPr>
                <w:rFonts w:asciiTheme="majorBidi" w:hAnsiTheme="majorBidi" w:cstheme="majorBidi"/>
                <w:b/>
                <w:bCs/>
                <w:sz w:val="24"/>
                <w:szCs w:val="24"/>
              </w:rPr>
            </w:pPr>
            <w:r w:rsidRPr="008A68F1">
              <w:rPr>
                <w:rFonts w:asciiTheme="majorBidi" w:hAnsiTheme="majorBidi" w:cstheme="majorBidi"/>
                <w:b/>
                <w:bCs/>
                <w:sz w:val="24"/>
                <w:szCs w:val="24"/>
              </w:rPr>
              <w:t>Etudiants étrangers</w:t>
            </w:r>
          </w:p>
        </w:tc>
      </w:tr>
      <w:tr w:rsidR="00C85F99" w:rsidRPr="008A68F1" w:rsidTr="00C85F99">
        <w:trPr>
          <w:trHeight w:val="50"/>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spacing w:after="0" w:line="360" w:lineRule="auto"/>
              <w:ind w:right="249"/>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 xml:space="preserve">Les étudiants étrangers, souhaitant s'inscrire en ce mastère, sont appelés à: </w:t>
            </w:r>
          </w:p>
          <w:p w:rsidR="00C85F99" w:rsidRPr="008A68F1" w:rsidRDefault="00C85F99" w:rsidP="008A68F1">
            <w:pPr>
              <w:pStyle w:val="Paragraphedeliste"/>
              <w:numPr>
                <w:ilvl w:val="0"/>
                <w:numId w:val="3"/>
              </w:numPr>
              <w:spacing w:before="0" w:after="0"/>
              <w:ind w:right="249"/>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 xml:space="preserve">Se préinscrire conformément à la démarche mentionnée au niveau du communiqué d'inscription de l'UVT ; </w:t>
            </w:r>
          </w:p>
          <w:p w:rsidR="00C85F99" w:rsidRPr="008A68F1" w:rsidRDefault="00C85F99" w:rsidP="008A68F1">
            <w:pPr>
              <w:pStyle w:val="Paragraphedeliste"/>
              <w:numPr>
                <w:ilvl w:val="0"/>
                <w:numId w:val="3"/>
              </w:numPr>
              <w:spacing w:before="0" w:after="0"/>
              <w:ind w:right="249"/>
              <w:jc w:val="left"/>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 xml:space="preserve">Déposer sur la plateforme de préinscription le dossier spécifique aux étrangers et qui est disponible via notre site web : https://www.uvt.rnu.tn/etudiantetranger, qui doit porter le visa du Ministère de tutelle du pays du candidat ; </w:t>
            </w:r>
          </w:p>
          <w:p w:rsidR="00C85F99" w:rsidRPr="008A68F1" w:rsidRDefault="00C85F99" w:rsidP="008A68F1">
            <w:pPr>
              <w:pStyle w:val="Paragraphedeliste"/>
              <w:numPr>
                <w:ilvl w:val="0"/>
                <w:numId w:val="3"/>
              </w:numPr>
              <w:spacing w:before="0" w:after="0"/>
              <w:ind w:right="249"/>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 xml:space="preserve">Veiller à ce que les copies des diplômes obtenus soient certifiées par les structures légalement autorisées par le pays d’émission; </w:t>
            </w:r>
          </w:p>
          <w:p w:rsidR="00C85F99" w:rsidRPr="008A68F1" w:rsidRDefault="00C85F99" w:rsidP="008A68F1">
            <w:pPr>
              <w:pStyle w:val="Paragraphedeliste"/>
              <w:numPr>
                <w:ilvl w:val="0"/>
                <w:numId w:val="3"/>
              </w:numPr>
              <w:spacing w:before="0" w:after="0"/>
              <w:ind w:right="249"/>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 xml:space="preserve"> Payer les frais de scolarité, une fois que le ministère de l’Enseignement Supérieur et de la Recherche Scientifique tunisien, valide le dossier de candidature.</w:t>
            </w:r>
          </w:p>
          <w:p w:rsidR="00C85F99" w:rsidRPr="008A68F1" w:rsidRDefault="00C85F99" w:rsidP="008A68F1">
            <w:pPr>
              <w:spacing w:after="0" w:line="360" w:lineRule="auto"/>
              <w:rPr>
                <w:rFonts w:asciiTheme="majorBidi" w:eastAsia="Times New Roman" w:hAnsiTheme="majorBidi" w:cstheme="majorBidi"/>
                <w:spacing w:val="-2"/>
                <w:sz w:val="24"/>
                <w:szCs w:val="24"/>
              </w:rPr>
            </w:pPr>
            <w:r w:rsidRPr="008A68F1">
              <w:rPr>
                <w:rFonts w:asciiTheme="majorBidi" w:eastAsia="Times New Roman" w:hAnsiTheme="majorBidi" w:cstheme="majorBidi"/>
                <w:spacing w:val="-2"/>
                <w:sz w:val="24"/>
                <w:szCs w:val="24"/>
              </w:rPr>
              <w:t>Conformément à l’arrêté du ministre de l’enseignement supérieur et de la recherche scientifique du 16 octobre 2019, fixant les frais d'études imputés aux étudiants étrangers, les frais annuels d’inscription sont payés en dinar tunisien et s’élèvent à 6 000 DT/ année universitaire.</w:t>
            </w:r>
          </w:p>
          <w:p w:rsidR="00C85F99" w:rsidRPr="008A68F1" w:rsidRDefault="00C85F99" w:rsidP="008A68F1">
            <w:pPr>
              <w:spacing w:after="0" w:line="360" w:lineRule="auto"/>
              <w:rPr>
                <w:rFonts w:asciiTheme="majorBidi" w:hAnsiTheme="majorBidi" w:cstheme="majorBidi"/>
                <w:b/>
                <w:iCs/>
                <w:sz w:val="24"/>
                <w:szCs w:val="24"/>
                <w:lang w:bidi="ar-TN"/>
              </w:rPr>
            </w:pPr>
          </w:p>
        </w:tc>
      </w:tr>
      <w:tr w:rsidR="00C85F99" w:rsidRPr="008A68F1" w:rsidTr="00C85F99">
        <w:trPr>
          <w:trHeight w:val="507"/>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spacing w:after="0" w:line="360" w:lineRule="auto"/>
              <w:ind w:left="357"/>
              <w:jc w:val="center"/>
              <w:rPr>
                <w:rFonts w:asciiTheme="majorBidi" w:hAnsiTheme="majorBidi" w:cstheme="majorBidi"/>
                <w:sz w:val="24"/>
                <w:szCs w:val="24"/>
              </w:rPr>
            </w:pPr>
            <w:r w:rsidRPr="008A68F1">
              <w:rPr>
                <w:rFonts w:asciiTheme="majorBidi" w:hAnsiTheme="majorBidi" w:cstheme="majorBidi"/>
                <w:iCs/>
                <w:sz w:val="24"/>
                <w:szCs w:val="24"/>
                <w:lang w:bidi="ar-TN"/>
              </w:rPr>
              <w:t xml:space="preserve">Pour plus de détails, veuillez consulter </w:t>
            </w:r>
            <w:r w:rsidR="0075118D" w:rsidRPr="008A68F1">
              <w:rPr>
                <w:rFonts w:asciiTheme="majorBidi" w:hAnsiTheme="majorBidi" w:cstheme="majorBidi"/>
                <w:iCs/>
                <w:sz w:val="24"/>
                <w:szCs w:val="24"/>
                <w:lang w:bidi="ar-TN"/>
              </w:rPr>
              <w:t>la page web de la formation</w:t>
            </w:r>
            <w:r w:rsidRPr="008A68F1">
              <w:rPr>
                <w:rFonts w:asciiTheme="majorBidi" w:hAnsiTheme="majorBidi" w:cstheme="majorBidi"/>
                <w:iCs/>
                <w:sz w:val="24"/>
                <w:szCs w:val="24"/>
                <w:lang w:bidi="ar-TN"/>
              </w:rPr>
              <w:t xml:space="preserve"> : </w:t>
            </w:r>
            <w:r w:rsidR="00681570">
              <w:t xml:space="preserve"> </w:t>
            </w:r>
            <w:r w:rsidR="00681570" w:rsidRPr="00681570">
              <w:t>https://www.uvt.rnu.tn/mp2l</w:t>
            </w:r>
          </w:p>
        </w:tc>
      </w:tr>
      <w:tr w:rsidR="00C85F99" w:rsidRPr="008A68F1" w:rsidTr="00C85F99">
        <w:trPr>
          <w:trHeight w:val="507"/>
        </w:trPr>
        <w:tc>
          <w:tcPr>
            <w:tcW w:w="10207" w:type="dxa"/>
            <w:tcBorders>
              <w:top w:val="single" w:sz="12" w:space="0" w:color="auto"/>
              <w:bottom w:val="single" w:sz="12" w:space="0" w:color="auto"/>
            </w:tcBorders>
            <w:shd w:val="clear" w:color="auto" w:fill="auto"/>
            <w:vAlign w:val="center"/>
          </w:tcPr>
          <w:p w:rsidR="00C85F99" w:rsidRPr="008A68F1" w:rsidRDefault="00C85F99" w:rsidP="008A68F1">
            <w:pPr>
              <w:spacing w:after="0" w:line="360" w:lineRule="auto"/>
              <w:ind w:left="180"/>
              <w:jc w:val="center"/>
              <w:rPr>
                <w:rFonts w:asciiTheme="majorBidi" w:hAnsiTheme="majorBidi" w:cstheme="majorBidi"/>
                <w:b/>
                <w:bCs/>
                <w:iCs/>
                <w:color w:val="000000" w:themeColor="text1"/>
                <w:sz w:val="24"/>
                <w:szCs w:val="24"/>
                <w:lang w:bidi="ar-TN"/>
              </w:rPr>
            </w:pPr>
            <w:r w:rsidRPr="008A68F1">
              <w:rPr>
                <w:rFonts w:asciiTheme="majorBidi" w:hAnsiTheme="majorBidi" w:cstheme="majorBidi"/>
                <w:b/>
                <w:bCs/>
                <w:iCs/>
                <w:color w:val="000000" w:themeColor="text1"/>
                <w:sz w:val="24"/>
                <w:szCs w:val="24"/>
                <w:lang w:bidi="ar-TN"/>
              </w:rPr>
              <w:t>13, Rue Ibn Nadim, 1073 Montplaisir, Tunis</w:t>
            </w:r>
          </w:p>
          <w:p w:rsidR="00C85F99" w:rsidRPr="008A68F1" w:rsidRDefault="00C85F99" w:rsidP="008A68F1">
            <w:pPr>
              <w:spacing w:after="0" w:line="360" w:lineRule="auto"/>
              <w:ind w:right="480"/>
              <w:jc w:val="center"/>
              <w:rPr>
                <w:rFonts w:asciiTheme="majorBidi" w:hAnsiTheme="majorBidi" w:cstheme="majorBidi"/>
                <w:b/>
                <w:bCs/>
                <w:iCs/>
                <w:color w:val="000000" w:themeColor="text1"/>
                <w:sz w:val="24"/>
                <w:szCs w:val="24"/>
                <w:lang w:bidi="ar-TN"/>
              </w:rPr>
            </w:pPr>
            <w:r w:rsidRPr="008A68F1">
              <w:rPr>
                <w:rFonts w:asciiTheme="majorBidi" w:hAnsiTheme="majorBidi" w:cstheme="majorBidi"/>
                <w:b/>
                <w:bCs/>
                <w:sz w:val="24"/>
                <w:szCs w:val="24"/>
              </w:rPr>
              <w:sym w:font="Wingdings 2" w:char="F027"/>
            </w:r>
            <w:r w:rsidRPr="008A68F1">
              <w:rPr>
                <w:rFonts w:asciiTheme="majorBidi" w:hAnsiTheme="majorBidi" w:cstheme="majorBidi"/>
                <w:b/>
                <w:bCs/>
                <w:iCs/>
                <w:color w:val="000000" w:themeColor="text1"/>
                <w:sz w:val="24"/>
                <w:szCs w:val="24"/>
                <w:lang w:bidi="ar-TN"/>
              </w:rPr>
              <w:t>Tél : +216 71 905 248 / + 216 71 905 269 / + 216 71 905 254</w:t>
            </w:r>
          </w:p>
          <w:p w:rsidR="00C85F99" w:rsidRPr="008A68F1" w:rsidRDefault="00C85F99" w:rsidP="008A68F1">
            <w:pPr>
              <w:bidi/>
              <w:spacing w:after="0" w:line="360" w:lineRule="auto"/>
              <w:ind w:right="480"/>
              <w:jc w:val="center"/>
              <w:rPr>
                <w:rFonts w:asciiTheme="majorBidi" w:hAnsiTheme="majorBidi" w:cstheme="majorBidi"/>
                <w:b/>
                <w:bCs/>
                <w:iCs/>
                <w:color w:val="000000" w:themeColor="text1"/>
                <w:sz w:val="24"/>
                <w:szCs w:val="24"/>
                <w:lang w:bidi="ar-TN"/>
              </w:rPr>
            </w:pPr>
            <w:r w:rsidRPr="008A68F1">
              <w:rPr>
                <w:rFonts w:asciiTheme="majorBidi" w:hAnsiTheme="majorBidi" w:cstheme="majorBidi"/>
                <w:b/>
                <w:bCs/>
                <w:sz w:val="24"/>
                <w:szCs w:val="24"/>
              </w:rPr>
              <w:sym w:font="Wingdings 2" w:char="F037"/>
            </w:r>
            <w:r w:rsidRPr="008A68F1">
              <w:rPr>
                <w:rFonts w:asciiTheme="majorBidi" w:hAnsiTheme="majorBidi" w:cstheme="majorBidi"/>
                <w:b/>
                <w:bCs/>
                <w:iCs/>
                <w:color w:val="000000" w:themeColor="text1"/>
                <w:sz w:val="24"/>
                <w:szCs w:val="24"/>
                <w:lang w:bidi="ar-TN"/>
              </w:rPr>
              <w:t>Fax : +216 71 903 603</w:t>
            </w:r>
          </w:p>
          <w:p w:rsidR="00C85F99" w:rsidRPr="008A68F1" w:rsidRDefault="00B94266" w:rsidP="008A68F1">
            <w:pPr>
              <w:spacing w:after="0" w:line="360" w:lineRule="auto"/>
              <w:ind w:left="357"/>
              <w:jc w:val="center"/>
              <w:rPr>
                <w:rFonts w:asciiTheme="majorBidi" w:hAnsiTheme="majorBidi" w:cstheme="majorBidi"/>
                <w:iCs/>
                <w:sz w:val="24"/>
                <w:szCs w:val="24"/>
                <w:lang w:bidi="ar-TN"/>
              </w:rPr>
            </w:pPr>
            <w:hyperlink r:id="rId9" w:history="1">
              <w:r w:rsidR="00C85F99" w:rsidRPr="008A68F1">
                <w:rPr>
                  <w:rStyle w:val="Lienhypertexte"/>
                  <w:rFonts w:asciiTheme="majorBidi" w:hAnsiTheme="majorBidi" w:cstheme="majorBidi"/>
                  <w:b/>
                  <w:bCs/>
                  <w:iCs/>
                  <w:sz w:val="24"/>
                  <w:szCs w:val="24"/>
                  <w:lang w:bidi="ar-TN"/>
                </w:rPr>
                <w:t>www.uvt.rnu.tn</w:t>
              </w:r>
            </w:hyperlink>
          </w:p>
        </w:tc>
      </w:tr>
    </w:tbl>
    <w:p w:rsidR="003F48A0" w:rsidRPr="008A68F1" w:rsidRDefault="003F48A0" w:rsidP="008A68F1">
      <w:pPr>
        <w:tabs>
          <w:tab w:val="left" w:pos="10490"/>
          <w:tab w:val="left" w:pos="10773"/>
        </w:tabs>
        <w:spacing w:after="0" w:line="360" w:lineRule="auto"/>
        <w:ind w:right="-2"/>
        <w:rPr>
          <w:rFonts w:asciiTheme="majorBidi" w:eastAsia="Times New Roman" w:hAnsiTheme="majorBidi" w:cstheme="majorBidi"/>
          <w:sz w:val="24"/>
          <w:szCs w:val="24"/>
        </w:rPr>
      </w:pPr>
    </w:p>
    <w:p w:rsidR="00392EAF" w:rsidRPr="008A68F1" w:rsidRDefault="00392EAF" w:rsidP="008A68F1">
      <w:pPr>
        <w:spacing w:after="0" w:line="360" w:lineRule="auto"/>
        <w:rPr>
          <w:rFonts w:asciiTheme="majorBidi" w:hAnsiTheme="majorBidi" w:cstheme="majorBidi"/>
          <w:sz w:val="24"/>
          <w:szCs w:val="24"/>
        </w:rPr>
      </w:pPr>
    </w:p>
    <w:sectPr w:rsidR="00392EAF" w:rsidRPr="008A68F1" w:rsidSect="00F7501C">
      <w:footerReference w:type="default" r:id="rId10"/>
      <w:pgSz w:w="11906" w:h="16838"/>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E3" w:rsidRDefault="007F65E3" w:rsidP="00621905">
      <w:pPr>
        <w:spacing w:after="0" w:line="240" w:lineRule="auto"/>
      </w:pPr>
      <w:r>
        <w:separator/>
      </w:r>
    </w:p>
  </w:endnote>
  <w:endnote w:type="continuationSeparator" w:id="1">
    <w:p w:rsidR="007F65E3" w:rsidRDefault="007F65E3" w:rsidP="0062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16312"/>
      <w:docPartObj>
        <w:docPartGallery w:val="Page Numbers (Bottom of Page)"/>
        <w:docPartUnique/>
      </w:docPartObj>
    </w:sdtPr>
    <w:sdtContent>
      <w:p w:rsidR="00621905" w:rsidRDefault="00B94266">
        <w:pPr>
          <w:pStyle w:val="Pieddepage"/>
          <w:jc w:val="center"/>
        </w:pPr>
        <w:fldSimple w:instr=" PAGE   \* MERGEFORMAT ">
          <w:r w:rsidR="007F65E3">
            <w:rPr>
              <w:noProof/>
            </w:rPr>
            <w:t>1</w:t>
          </w:r>
        </w:fldSimple>
      </w:p>
    </w:sdtContent>
  </w:sdt>
  <w:p w:rsidR="00621905" w:rsidRDefault="006219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E3" w:rsidRDefault="007F65E3" w:rsidP="00621905">
      <w:pPr>
        <w:spacing w:after="0" w:line="240" w:lineRule="auto"/>
      </w:pPr>
      <w:r>
        <w:separator/>
      </w:r>
    </w:p>
  </w:footnote>
  <w:footnote w:type="continuationSeparator" w:id="1">
    <w:p w:rsidR="007F65E3" w:rsidRDefault="007F65E3" w:rsidP="00621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CCA"/>
    <w:multiLevelType w:val="hybridMultilevel"/>
    <w:tmpl w:val="40927398"/>
    <w:lvl w:ilvl="0" w:tplc="040C0005">
      <w:start w:val="1"/>
      <w:numFmt w:val="bullet"/>
      <w:lvlText w:val=""/>
      <w:lvlJc w:val="left"/>
      <w:pPr>
        <w:ind w:left="811" w:hanging="360"/>
      </w:pPr>
      <w:rPr>
        <w:rFonts w:ascii="Wingdings" w:hAnsi="Wingdings"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
    <w:nsid w:val="13196674"/>
    <w:multiLevelType w:val="hybridMultilevel"/>
    <w:tmpl w:val="FB2433C2"/>
    <w:lvl w:ilvl="0" w:tplc="1F9887A0">
      <w:start w:val="1"/>
      <w:numFmt w:val="bullet"/>
      <w:lvlText w:val=""/>
      <w:lvlJc w:val="left"/>
      <w:pPr>
        <w:tabs>
          <w:tab w:val="num" w:pos="783"/>
        </w:tabs>
        <w:ind w:left="1142" w:hanging="360"/>
      </w:pPr>
      <w:rPr>
        <w:rFonts w:ascii="Wingdings" w:hAnsi="Wingdings" w:hint="default"/>
        <w:sz w:val="28"/>
        <w:szCs w:val="28"/>
      </w:rPr>
    </w:lvl>
    <w:lvl w:ilvl="1" w:tplc="9208B3F8">
      <w:start w:val="1"/>
      <w:numFmt w:val="bullet"/>
      <w:lvlText w:val=""/>
      <w:lvlJc w:val="left"/>
      <w:pPr>
        <w:tabs>
          <w:tab w:val="num" w:pos="567"/>
        </w:tabs>
        <w:ind w:left="284" w:firstLine="0"/>
      </w:pPr>
      <w:rPr>
        <w:rFonts w:ascii="Symbol" w:hAnsi="Symbol" w:hint="default"/>
        <w:sz w:val="28"/>
        <w:szCs w:val="28"/>
      </w:rPr>
    </w:lvl>
    <w:lvl w:ilvl="2" w:tplc="040C0005">
      <w:start w:val="1"/>
      <w:numFmt w:val="bullet"/>
      <w:lvlText w:val=""/>
      <w:lvlJc w:val="left"/>
      <w:pPr>
        <w:tabs>
          <w:tab w:val="num" w:pos="2251"/>
        </w:tabs>
        <w:ind w:left="2251" w:hanging="360"/>
      </w:pPr>
      <w:rPr>
        <w:rFonts w:ascii="Wingdings" w:hAnsi="Wingdings" w:hint="default"/>
      </w:rPr>
    </w:lvl>
    <w:lvl w:ilvl="3" w:tplc="040C0001" w:tentative="1">
      <w:start w:val="1"/>
      <w:numFmt w:val="bullet"/>
      <w:lvlText w:val=""/>
      <w:lvlJc w:val="left"/>
      <w:pPr>
        <w:tabs>
          <w:tab w:val="num" w:pos="2971"/>
        </w:tabs>
        <w:ind w:left="2971" w:hanging="360"/>
      </w:pPr>
      <w:rPr>
        <w:rFonts w:ascii="Symbol" w:hAnsi="Symbol" w:hint="default"/>
      </w:rPr>
    </w:lvl>
    <w:lvl w:ilvl="4" w:tplc="040C0003" w:tentative="1">
      <w:start w:val="1"/>
      <w:numFmt w:val="bullet"/>
      <w:lvlText w:val="o"/>
      <w:lvlJc w:val="left"/>
      <w:pPr>
        <w:tabs>
          <w:tab w:val="num" w:pos="3691"/>
        </w:tabs>
        <w:ind w:left="3691" w:hanging="360"/>
      </w:pPr>
      <w:rPr>
        <w:rFonts w:ascii="Courier New" w:hAnsi="Courier New" w:cs="Courier New" w:hint="default"/>
      </w:rPr>
    </w:lvl>
    <w:lvl w:ilvl="5" w:tplc="040C0005" w:tentative="1">
      <w:start w:val="1"/>
      <w:numFmt w:val="bullet"/>
      <w:lvlText w:val=""/>
      <w:lvlJc w:val="left"/>
      <w:pPr>
        <w:tabs>
          <w:tab w:val="num" w:pos="4411"/>
        </w:tabs>
        <w:ind w:left="4411" w:hanging="360"/>
      </w:pPr>
      <w:rPr>
        <w:rFonts w:ascii="Wingdings" w:hAnsi="Wingdings" w:hint="default"/>
      </w:rPr>
    </w:lvl>
    <w:lvl w:ilvl="6" w:tplc="040C0001" w:tentative="1">
      <w:start w:val="1"/>
      <w:numFmt w:val="bullet"/>
      <w:lvlText w:val=""/>
      <w:lvlJc w:val="left"/>
      <w:pPr>
        <w:tabs>
          <w:tab w:val="num" w:pos="5131"/>
        </w:tabs>
        <w:ind w:left="5131" w:hanging="360"/>
      </w:pPr>
      <w:rPr>
        <w:rFonts w:ascii="Symbol" w:hAnsi="Symbol" w:hint="default"/>
      </w:rPr>
    </w:lvl>
    <w:lvl w:ilvl="7" w:tplc="040C0003" w:tentative="1">
      <w:start w:val="1"/>
      <w:numFmt w:val="bullet"/>
      <w:lvlText w:val="o"/>
      <w:lvlJc w:val="left"/>
      <w:pPr>
        <w:tabs>
          <w:tab w:val="num" w:pos="5851"/>
        </w:tabs>
        <w:ind w:left="5851" w:hanging="360"/>
      </w:pPr>
      <w:rPr>
        <w:rFonts w:ascii="Courier New" w:hAnsi="Courier New" w:cs="Courier New" w:hint="default"/>
      </w:rPr>
    </w:lvl>
    <w:lvl w:ilvl="8" w:tplc="040C0005" w:tentative="1">
      <w:start w:val="1"/>
      <w:numFmt w:val="bullet"/>
      <w:lvlText w:val=""/>
      <w:lvlJc w:val="left"/>
      <w:pPr>
        <w:tabs>
          <w:tab w:val="num" w:pos="6571"/>
        </w:tabs>
        <w:ind w:left="6571" w:hanging="360"/>
      </w:pPr>
      <w:rPr>
        <w:rFonts w:ascii="Wingdings" w:hAnsi="Wingdings" w:hint="default"/>
      </w:rPr>
    </w:lvl>
  </w:abstractNum>
  <w:abstractNum w:abstractNumId="2">
    <w:nsid w:val="1707123F"/>
    <w:multiLevelType w:val="hybridMultilevel"/>
    <w:tmpl w:val="45007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4C4437"/>
    <w:multiLevelType w:val="hybridMultilevel"/>
    <w:tmpl w:val="663EDDD4"/>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4">
    <w:nsid w:val="4D7B2D7A"/>
    <w:multiLevelType w:val="hybridMultilevel"/>
    <w:tmpl w:val="86108020"/>
    <w:lvl w:ilvl="0" w:tplc="950C54FC">
      <w:numFmt w:val="bullet"/>
      <w:lvlText w:val="-"/>
      <w:lvlJc w:val="left"/>
      <w:pPr>
        <w:tabs>
          <w:tab w:val="num" w:pos="540"/>
        </w:tabs>
        <w:ind w:left="540" w:hanging="360"/>
      </w:pPr>
      <w:rPr>
        <w:rFonts w:ascii="Book Antiqua" w:eastAsia="Times New Roman" w:hAnsi="Book Antiqua" w:cs="Times New Roman" w:hint="default"/>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
    <w:nsid w:val="55A4330D"/>
    <w:multiLevelType w:val="hybridMultilevel"/>
    <w:tmpl w:val="AF200376"/>
    <w:lvl w:ilvl="0" w:tplc="BA141C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673F19"/>
    <w:multiLevelType w:val="hybridMultilevel"/>
    <w:tmpl w:val="C4543E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F571D0"/>
    <w:multiLevelType w:val="hybridMultilevel"/>
    <w:tmpl w:val="F1D653F4"/>
    <w:lvl w:ilvl="0" w:tplc="567ADF3A">
      <w:start w:val="1"/>
      <w:numFmt w:val="bullet"/>
      <w:lvlText w:val=""/>
      <w:lvlJc w:val="left"/>
      <w:pPr>
        <w:ind w:left="556" w:hanging="360"/>
      </w:pPr>
      <w:rPr>
        <w:rFonts w:ascii="Symbol" w:hAnsi="Symbol" w:hint="default"/>
      </w:rPr>
    </w:lvl>
    <w:lvl w:ilvl="1" w:tplc="040C0003" w:tentative="1">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996" w:hanging="360"/>
      </w:pPr>
      <w:rPr>
        <w:rFonts w:ascii="Wingdings" w:hAnsi="Wingdings" w:hint="default"/>
      </w:rPr>
    </w:lvl>
    <w:lvl w:ilvl="3" w:tplc="040C0001" w:tentative="1">
      <w:start w:val="1"/>
      <w:numFmt w:val="bullet"/>
      <w:lvlText w:val=""/>
      <w:lvlJc w:val="left"/>
      <w:pPr>
        <w:ind w:left="2716" w:hanging="360"/>
      </w:pPr>
      <w:rPr>
        <w:rFonts w:ascii="Symbol" w:hAnsi="Symbol" w:hint="default"/>
      </w:rPr>
    </w:lvl>
    <w:lvl w:ilvl="4" w:tplc="040C0003" w:tentative="1">
      <w:start w:val="1"/>
      <w:numFmt w:val="bullet"/>
      <w:lvlText w:val="o"/>
      <w:lvlJc w:val="left"/>
      <w:pPr>
        <w:ind w:left="3436" w:hanging="360"/>
      </w:pPr>
      <w:rPr>
        <w:rFonts w:ascii="Courier New" w:hAnsi="Courier New" w:cs="Courier New" w:hint="default"/>
      </w:rPr>
    </w:lvl>
    <w:lvl w:ilvl="5" w:tplc="040C0005" w:tentative="1">
      <w:start w:val="1"/>
      <w:numFmt w:val="bullet"/>
      <w:lvlText w:val=""/>
      <w:lvlJc w:val="left"/>
      <w:pPr>
        <w:ind w:left="4156" w:hanging="360"/>
      </w:pPr>
      <w:rPr>
        <w:rFonts w:ascii="Wingdings" w:hAnsi="Wingdings" w:hint="default"/>
      </w:rPr>
    </w:lvl>
    <w:lvl w:ilvl="6" w:tplc="040C0001" w:tentative="1">
      <w:start w:val="1"/>
      <w:numFmt w:val="bullet"/>
      <w:lvlText w:val=""/>
      <w:lvlJc w:val="left"/>
      <w:pPr>
        <w:ind w:left="4876" w:hanging="360"/>
      </w:pPr>
      <w:rPr>
        <w:rFonts w:ascii="Symbol" w:hAnsi="Symbol" w:hint="default"/>
      </w:rPr>
    </w:lvl>
    <w:lvl w:ilvl="7" w:tplc="040C0003" w:tentative="1">
      <w:start w:val="1"/>
      <w:numFmt w:val="bullet"/>
      <w:lvlText w:val="o"/>
      <w:lvlJc w:val="left"/>
      <w:pPr>
        <w:ind w:left="5596" w:hanging="360"/>
      </w:pPr>
      <w:rPr>
        <w:rFonts w:ascii="Courier New" w:hAnsi="Courier New" w:cs="Courier New" w:hint="default"/>
      </w:rPr>
    </w:lvl>
    <w:lvl w:ilvl="8" w:tplc="040C0005" w:tentative="1">
      <w:start w:val="1"/>
      <w:numFmt w:val="bullet"/>
      <w:lvlText w:val=""/>
      <w:lvlJc w:val="left"/>
      <w:pPr>
        <w:ind w:left="6316" w:hanging="360"/>
      </w:pPr>
      <w:rPr>
        <w:rFonts w:ascii="Wingdings" w:hAnsi="Wingdings" w:hint="default"/>
      </w:rPr>
    </w:lvl>
  </w:abstractNum>
  <w:abstractNum w:abstractNumId="8">
    <w:nsid w:val="78AE6E53"/>
    <w:multiLevelType w:val="hybridMultilevel"/>
    <w:tmpl w:val="52561D6C"/>
    <w:lvl w:ilvl="0" w:tplc="E4CE39CE">
      <w:numFmt w:val="bullet"/>
      <w:lvlText w:val="-"/>
      <w:lvlJc w:val="left"/>
      <w:pPr>
        <w:ind w:left="825" w:hanging="360"/>
      </w:pPr>
      <w:rPr>
        <w:rFonts w:ascii="Bodoni MT" w:eastAsia="Calibri" w:hAnsi="Bodoni MT" w:cs="Aria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392EAF"/>
    <w:rsid w:val="00007F59"/>
    <w:rsid w:val="00034717"/>
    <w:rsid w:val="00055567"/>
    <w:rsid w:val="00076029"/>
    <w:rsid w:val="0007745E"/>
    <w:rsid w:val="00091F06"/>
    <w:rsid w:val="000C575F"/>
    <w:rsid w:val="000F0DB9"/>
    <w:rsid w:val="00113496"/>
    <w:rsid w:val="001911B0"/>
    <w:rsid w:val="00194789"/>
    <w:rsid w:val="001A29DF"/>
    <w:rsid w:val="001A2CDF"/>
    <w:rsid w:val="001D28E7"/>
    <w:rsid w:val="00203887"/>
    <w:rsid w:val="00251101"/>
    <w:rsid w:val="00260C92"/>
    <w:rsid w:val="00270410"/>
    <w:rsid w:val="002737AD"/>
    <w:rsid w:val="002C2276"/>
    <w:rsid w:val="002D54C5"/>
    <w:rsid w:val="0034329A"/>
    <w:rsid w:val="00347A6C"/>
    <w:rsid w:val="00357085"/>
    <w:rsid w:val="00392EAF"/>
    <w:rsid w:val="003F48A0"/>
    <w:rsid w:val="004541FE"/>
    <w:rsid w:val="00463536"/>
    <w:rsid w:val="0048622F"/>
    <w:rsid w:val="004B1C64"/>
    <w:rsid w:val="004D3644"/>
    <w:rsid w:val="00502CF7"/>
    <w:rsid w:val="005443C1"/>
    <w:rsid w:val="00552162"/>
    <w:rsid w:val="00554908"/>
    <w:rsid w:val="00576AAB"/>
    <w:rsid w:val="00584EE3"/>
    <w:rsid w:val="005C534A"/>
    <w:rsid w:val="005F7A47"/>
    <w:rsid w:val="006110F5"/>
    <w:rsid w:val="00621905"/>
    <w:rsid w:val="006336CA"/>
    <w:rsid w:val="00643A8E"/>
    <w:rsid w:val="00646C64"/>
    <w:rsid w:val="00661E62"/>
    <w:rsid w:val="00681570"/>
    <w:rsid w:val="00692CB6"/>
    <w:rsid w:val="006B4428"/>
    <w:rsid w:val="006B77B2"/>
    <w:rsid w:val="006F5C51"/>
    <w:rsid w:val="006F64B6"/>
    <w:rsid w:val="0073043E"/>
    <w:rsid w:val="007373F2"/>
    <w:rsid w:val="00746D06"/>
    <w:rsid w:val="0075118D"/>
    <w:rsid w:val="0077172F"/>
    <w:rsid w:val="007A4C2D"/>
    <w:rsid w:val="007E4A53"/>
    <w:rsid w:val="007F65E3"/>
    <w:rsid w:val="0080495E"/>
    <w:rsid w:val="008A68F1"/>
    <w:rsid w:val="008B0F7C"/>
    <w:rsid w:val="008D5823"/>
    <w:rsid w:val="008E6BA3"/>
    <w:rsid w:val="00946F18"/>
    <w:rsid w:val="00960E05"/>
    <w:rsid w:val="009B37F6"/>
    <w:rsid w:val="00A15E66"/>
    <w:rsid w:val="00A20DC1"/>
    <w:rsid w:val="00A52D06"/>
    <w:rsid w:val="00A72B96"/>
    <w:rsid w:val="00A74E06"/>
    <w:rsid w:val="00A928F4"/>
    <w:rsid w:val="00AA0E94"/>
    <w:rsid w:val="00B50C10"/>
    <w:rsid w:val="00B92F71"/>
    <w:rsid w:val="00B94266"/>
    <w:rsid w:val="00BC433B"/>
    <w:rsid w:val="00C77164"/>
    <w:rsid w:val="00C845D8"/>
    <w:rsid w:val="00C85F99"/>
    <w:rsid w:val="00C97C69"/>
    <w:rsid w:val="00CB0083"/>
    <w:rsid w:val="00CD2BB0"/>
    <w:rsid w:val="00D14FC8"/>
    <w:rsid w:val="00D41BF3"/>
    <w:rsid w:val="00D76991"/>
    <w:rsid w:val="00E73B47"/>
    <w:rsid w:val="00ED61B6"/>
    <w:rsid w:val="00EE402D"/>
    <w:rsid w:val="00EE47BA"/>
    <w:rsid w:val="00EF0AB0"/>
    <w:rsid w:val="00F01933"/>
    <w:rsid w:val="00F261B8"/>
    <w:rsid w:val="00F645D6"/>
    <w:rsid w:val="00F750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2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2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EAF"/>
    <w:rPr>
      <w:rFonts w:ascii="Tahoma" w:hAnsi="Tahoma" w:cs="Tahoma"/>
      <w:sz w:val="16"/>
      <w:szCs w:val="16"/>
    </w:rPr>
  </w:style>
  <w:style w:type="character" w:styleId="Lienhypertexte">
    <w:name w:val="Hyperlink"/>
    <w:basedOn w:val="Policepardfaut"/>
    <w:uiPriority w:val="99"/>
    <w:rsid w:val="00692CB6"/>
    <w:rPr>
      <w:color w:val="0000FF"/>
      <w:u w:val="single"/>
    </w:rPr>
  </w:style>
  <w:style w:type="paragraph" w:styleId="Paragraphedeliste">
    <w:name w:val="List Paragraph"/>
    <w:basedOn w:val="Normal"/>
    <w:uiPriority w:val="34"/>
    <w:qFormat/>
    <w:rsid w:val="00692CB6"/>
    <w:pPr>
      <w:spacing w:before="120" w:line="360" w:lineRule="auto"/>
      <w:ind w:left="720" w:hanging="357"/>
      <w:contextualSpacing/>
      <w:jc w:val="both"/>
    </w:pPr>
    <w:rPr>
      <w:rFonts w:ascii="Calibri" w:eastAsia="Calibri" w:hAnsi="Calibri" w:cs="Arial"/>
    </w:rPr>
  </w:style>
  <w:style w:type="paragraph" w:styleId="NormalWeb">
    <w:name w:val="Normal (Web)"/>
    <w:basedOn w:val="Normal"/>
    <w:uiPriority w:val="99"/>
    <w:unhideWhenUsed/>
    <w:rsid w:val="00692C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219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905"/>
  </w:style>
  <w:style w:type="paragraph" w:styleId="Pieddepage">
    <w:name w:val="footer"/>
    <w:basedOn w:val="Normal"/>
    <w:link w:val="PieddepageCar"/>
    <w:uiPriority w:val="99"/>
    <w:unhideWhenUsed/>
    <w:rsid w:val="00621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905"/>
  </w:style>
</w:styles>
</file>

<file path=word/webSettings.xml><?xml version="1.0" encoding="utf-8"?>
<w:webSettings xmlns:r="http://schemas.openxmlformats.org/officeDocument/2006/relationships" xmlns:w="http://schemas.openxmlformats.org/wordprocessingml/2006/main">
  <w:divs>
    <w:div w:id="19503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vt.rnu.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PC</cp:lastModifiedBy>
  <cp:revision>2</cp:revision>
  <dcterms:created xsi:type="dcterms:W3CDTF">2021-07-13T20:05:00Z</dcterms:created>
  <dcterms:modified xsi:type="dcterms:W3CDTF">2021-07-13T20:05:00Z</dcterms:modified>
</cp:coreProperties>
</file>